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4E8D4" w14:textId="177E33CC" w:rsidR="00D275E8" w:rsidRPr="001F071F" w:rsidRDefault="00F80FD1" w:rsidP="00D275E8">
      <w:pPr>
        <w:spacing w:after="0"/>
        <w:jc w:val="center"/>
        <w:rPr>
          <w:rFonts w:ascii="Arial" w:hAnsi="Arial" w:cs="Arial"/>
          <w:b/>
          <w:sz w:val="26"/>
          <w:szCs w:val="26"/>
        </w:rPr>
      </w:pPr>
      <w:r w:rsidRPr="001F071F">
        <w:rPr>
          <w:rFonts w:ascii="Arial" w:hAnsi="Arial" w:cs="Arial"/>
          <w:b/>
          <w:sz w:val="26"/>
          <w:szCs w:val="26"/>
        </w:rPr>
        <w:t>1</w:t>
      </w:r>
      <w:r w:rsidR="00242BD0">
        <w:rPr>
          <w:rFonts w:ascii="Arial" w:hAnsi="Arial" w:cs="Arial"/>
          <w:b/>
          <w:sz w:val="26"/>
          <w:szCs w:val="26"/>
        </w:rPr>
        <w:t>9</w:t>
      </w:r>
      <w:r w:rsidR="00D275E8" w:rsidRPr="001F071F">
        <w:rPr>
          <w:rFonts w:ascii="Arial" w:hAnsi="Arial" w:cs="Arial"/>
          <w:b/>
          <w:sz w:val="26"/>
          <w:szCs w:val="26"/>
          <w:vertAlign w:val="superscript"/>
        </w:rPr>
        <w:t>th</w:t>
      </w:r>
      <w:r w:rsidR="00D275E8" w:rsidRPr="001F071F">
        <w:rPr>
          <w:rFonts w:ascii="Arial" w:hAnsi="Arial" w:cs="Arial"/>
          <w:b/>
          <w:sz w:val="26"/>
          <w:szCs w:val="26"/>
        </w:rPr>
        <w:t xml:space="preserve"> Annual </w:t>
      </w:r>
      <w:r w:rsidRPr="001F071F">
        <w:rPr>
          <w:rFonts w:ascii="Arial" w:hAnsi="Arial" w:cs="Arial"/>
          <w:b/>
          <w:sz w:val="26"/>
          <w:szCs w:val="26"/>
        </w:rPr>
        <w:t>Southeast Mine H&amp;S Conference</w:t>
      </w:r>
    </w:p>
    <w:p w14:paraId="5944E0C9" w14:textId="6F3ECDA8" w:rsidR="00D275E8" w:rsidRPr="00EE41A3" w:rsidRDefault="00224B78" w:rsidP="00D275E8">
      <w:pPr>
        <w:spacing w:after="0"/>
        <w:jc w:val="center"/>
        <w:rPr>
          <w:rFonts w:ascii="Arial" w:hAnsi="Arial" w:cs="Arial"/>
          <w:b/>
          <w:sz w:val="20"/>
          <w:szCs w:val="20"/>
        </w:rPr>
      </w:pPr>
      <w:r>
        <w:rPr>
          <w:rFonts w:ascii="Arial" w:hAnsi="Arial" w:cs="Arial"/>
          <w:b/>
          <w:sz w:val="26"/>
          <w:szCs w:val="26"/>
        </w:rPr>
        <w:t xml:space="preserve">NIOSH </w:t>
      </w:r>
      <w:r w:rsidR="00F80FD1" w:rsidRPr="001F071F">
        <w:rPr>
          <w:rFonts w:ascii="Arial" w:hAnsi="Arial" w:cs="Arial"/>
          <w:b/>
          <w:sz w:val="26"/>
          <w:szCs w:val="26"/>
        </w:rPr>
        <w:t>Preconference</w:t>
      </w:r>
      <w:r w:rsidR="00D275E8" w:rsidRPr="001F071F">
        <w:rPr>
          <w:rFonts w:ascii="Arial" w:hAnsi="Arial" w:cs="Arial"/>
          <w:b/>
          <w:sz w:val="26"/>
          <w:szCs w:val="26"/>
        </w:rPr>
        <w:t xml:space="preserve"> Workshop</w:t>
      </w:r>
      <w:r w:rsidR="00843F46" w:rsidRPr="001F071F">
        <w:rPr>
          <w:rFonts w:ascii="Arial" w:hAnsi="Arial" w:cs="Arial"/>
          <w:b/>
          <w:sz w:val="26"/>
          <w:szCs w:val="26"/>
        </w:rPr>
        <w:t xml:space="preserve"> </w:t>
      </w:r>
      <w:r w:rsidR="00A84E75">
        <w:rPr>
          <w:rFonts w:ascii="Arial" w:hAnsi="Arial" w:cs="Arial"/>
          <w:b/>
          <w:sz w:val="26"/>
          <w:szCs w:val="26"/>
        </w:rPr>
        <w:t>October</w:t>
      </w:r>
      <w:r w:rsidR="00337849">
        <w:rPr>
          <w:rFonts w:ascii="Arial" w:hAnsi="Arial" w:cs="Arial"/>
          <w:b/>
          <w:sz w:val="26"/>
          <w:szCs w:val="26"/>
        </w:rPr>
        <w:t xml:space="preserve"> </w:t>
      </w:r>
      <w:r w:rsidR="00A84E75">
        <w:rPr>
          <w:rFonts w:ascii="Arial" w:hAnsi="Arial" w:cs="Arial"/>
          <w:b/>
          <w:sz w:val="26"/>
          <w:szCs w:val="26"/>
        </w:rPr>
        <w:t>3</w:t>
      </w:r>
      <w:r w:rsidR="001C74C2">
        <w:rPr>
          <w:rFonts w:ascii="Arial" w:hAnsi="Arial" w:cs="Arial"/>
          <w:b/>
          <w:sz w:val="26"/>
          <w:szCs w:val="26"/>
        </w:rPr>
        <w:t xml:space="preserve">1, </w:t>
      </w:r>
      <w:proofErr w:type="gramStart"/>
      <w:r w:rsidR="001C74C2">
        <w:rPr>
          <w:rFonts w:ascii="Arial" w:hAnsi="Arial" w:cs="Arial"/>
          <w:b/>
          <w:sz w:val="26"/>
          <w:szCs w:val="26"/>
        </w:rPr>
        <w:t>202</w:t>
      </w:r>
      <w:r w:rsidR="00A84E75">
        <w:rPr>
          <w:rFonts w:ascii="Arial" w:hAnsi="Arial" w:cs="Arial"/>
          <w:b/>
          <w:sz w:val="26"/>
          <w:szCs w:val="26"/>
        </w:rPr>
        <w:t>3</w:t>
      </w:r>
      <w:proofErr w:type="gramEnd"/>
      <w:r w:rsidR="00D275E8" w:rsidRPr="001F071F">
        <w:rPr>
          <w:rFonts w:ascii="Arial" w:hAnsi="Arial" w:cs="Arial"/>
          <w:b/>
          <w:sz w:val="30"/>
          <w:szCs w:val="30"/>
        </w:rPr>
        <w:t xml:space="preserve"> </w:t>
      </w:r>
      <w:r w:rsidR="00D275E8" w:rsidRPr="001F071F">
        <w:rPr>
          <w:rFonts w:ascii="Arial" w:hAnsi="Arial" w:cs="Arial"/>
          <w:b/>
          <w:sz w:val="30"/>
          <w:szCs w:val="30"/>
        </w:rPr>
        <w:br/>
      </w:r>
    </w:p>
    <w:p w14:paraId="34F7BB71" w14:textId="6538BE68" w:rsidR="00240489" w:rsidRPr="001F071F" w:rsidRDefault="001F426F" w:rsidP="00F71AA4">
      <w:pPr>
        <w:jc w:val="center"/>
        <w:rPr>
          <w:rFonts w:ascii="Arial" w:hAnsi="Arial" w:cs="Arial"/>
          <w:b/>
          <w:i/>
          <w:sz w:val="24"/>
          <w:szCs w:val="24"/>
        </w:rPr>
      </w:pPr>
      <w:r>
        <w:rPr>
          <w:rFonts w:ascii="Arial" w:hAnsi="Arial" w:cs="Arial"/>
          <w:b/>
          <w:i/>
          <w:sz w:val="24"/>
          <w:szCs w:val="24"/>
        </w:rPr>
        <w:t>Research to Practice</w:t>
      </w:r>
      <w:r w:rsidR="00D35020">
        <w:rPr>
          <w:rFonts w:ascii="Arial" w:hAnsi="Arial" w:cs="Arial"/>
          <w:b/>
          <w:i/>
          <w:sz w:val="24"/>
          <w:szCs w:val="24"/>
        </w:rPr>
        <w:t xml:space="preserve"> Health</w:t>
      </w:r>
      <w:r w:rsidR="001A6FB9">
        <w:rPr>
          <w:rFonts w:ascii="Arial" w:hAnsi="Arial" w:cs="Arial"/>
          <w:b/>
          <w:i/>
          <w:sz w:val="24"/>
          <w:szCs w:val="24"/>
        </w:rPr>
        <w:t xml:space="preserve"> &amp; Safety</w:t>
      </w:r>
      <w:r w:rsidR="00D35020">
        <w:rPr>
          <w:rFonts w:ascii="Arial" w:hAnsi="Arial" w:cs="Arial"/>
          <w:b/>
          <w:i/>
          <w:sz w:val="24"/>
          <w:szCs w:val="24"/>
        </w:rPr>
        <w:t xml:space="preserve"> </w:t>
      </w:r>
      <w:r>
        <w:rPr>
          <w:rFonts w:ascii="Arial" w:hAnsi="Arial" w:cs="Arial"/>
          <w:b/>
          <w:i/>
          <w:sz w:val="24"/>
          <w:szCs w:val="24"/>
        </w:rPr>
        <w:t>Interventions, Technologies, and Trainings</w:t>
      </w:r>
    </w:p>
    <w:tbl>
      <w:tblPr>
        <w:tblStyle w:val="TableGrid"/>
        <w:tblW w:w="10790" w:type="dxa"/>
        <w:tblLook w:val="04A0" w:firstRow="1" w:lastRow="0" w:firstColumn="1" w:lastColumn="0" w:noHBand="0" w:noVBand="1"/>
      </w:tblPr>
      <w:tblGrid>
        <w:gridCol w:w="2245"/>
        <w:gridCol w:w="4605"/>
        <w:gridCol w:w="1871"/>
        <w:gridCol w:w="2069"/>
      </w:tblGrid>
      <w:tr w:rsidR="00A205C2" w:rsidRPr="001F071F" w14:paraId="4F9C2129" w14:textId="77777777" w:rsidTr="47FD73D2">
        <w:trPr>
          <w:trHeight w:val="300"/>
        </w:trPr>
        <w:tc>
          <w:tcPr>
            <w:tcW w:w="2245" w:type="dxa"/>
            <w:vAlign w:val="bottom"/>
          </w:tcPr>
          <w:p w14:paraId="6B7AFCAD" w14:textId="77777777" w:rsidR="00A205C2" w:rsidRPr="001F071F" w:rsidRDefault="00A205C2" w:rsidP="00A205C2">
            <w:pPr>
              <w:keepNext/>
              <w:spacing w:before="80" w:after="80"/>
              <w:jc w:val="center"/>
              <w:outlineLvl w:val="0"/>
              <w:rPr>
                <w:rFonts w:ascii="Arial" w:eastAsia="Times New Roman" w:hAnsi="Arial" w:cs="Arial"/>
                <w:b/>
                <w:caps/>
              </w:rPr>
            </w:pPr>
            <w:r w:rsidRPr="001F071F">
              <w:rPr>
                <w:rFonts w:ascii="Arial" w:eastAsia="Times New Roman" w:hAnsi="Arial" w:cs="Arial"/>
                <w:b/>
                <w:caps/>
              </w:rPr>
              <w:t>Topic</w:t>
            </w:r>
          </w:p>
        </w:tc>
        <w:tc>
          <w:tcPr>
            <w:tcW w:w="4605" w:type="dxa"/>
            <w:vAlign w:val="bottom"/>
          </w:tcPr>
          <w:p w14:paraId="683C7574" w14:textId="77777777" w:rsidR="00A205C2" w:rsidRPr="001F071F" w:rsidRDefault="00A205C2" w:rsidP="00A205C2">
            <w:pPr>
              <w:keepNext/>
              <w:spacing w:before="80" w:after="80"/>
              <w:jc w:val="center"/>
              <w:outlineLvl w:val="0"/>
              <w:rPr>
                <w:rFonts w:ascii="Arial" w:eastAsia="Times New Roman" w:hAnsi="Arial" w:cs="Arial"/>
                <w:b/>
                <w:caps/>
              </w:rPr>
            </w:pPr>
            <w:r w:rsidRPr="001F071F">
              <w:rPr>
                <w:rFonts w:ascii="Arial" w:eastAsia="Times New Roman" w:hAnsi="Arial" w:cs="Arial"/>
                <w:b/>
                <w:caps/>
              </w:rPr>
              <w:t>Discussion points</w:t>
            </w:r>
          </w:p>
        </w:tc>
        <w:tc>
          <w:tcPr>
            <w:tcW w:w="1871" w:type="dxa"/>
          </w:tcPr>
          <w:p w14:paraId="7272BFAD" w14:textId="77777777" w:rsidR="00A205C2" w:rsidRPr="001F071F" w:rsidRDefault="00A205C2" w:rsidP="00A205C2">
            <w:pPr>
              <w:rPr>
                <w:rFonts w:ascii="Arial" w:eastAsia="Calibri" w:hAnsi="Arial" w:cs="Arial"/>
                <w:lang w:eastAsia="ja-JP"/>
              </w:rPr>
            </w:pPr>
            <w:r w:rsidRPr="001F071F">
              <w:rPr>
                <w:rFonts w:ascii="Arial" w:eastAsia="Times New Roman" w:hAnsi="Arial" w:cs="Arial"/>
                <w:b/>
                <w:caps/>
              </w:rPr>
              <w:t>PRESENTERS</w:t>
            </w:r>
          </w:p>
        </w:tc>
        <w:tc>
          <w:tcPr>
            <w:tcW w:w="2069" w:type="dxa"/>
          </w:tcPr>
          <w:p w14:paraId="37303633" w14:textId="77777777" w:rsidR="00A205C2" w:rsidRPr="001F071F" w:rsidRDefault="00A205C2" w:rsidP="00A205C2">
            <w:pPr>
              <w:rPr>
                <w:rFonts w:ascii="Arial" w:eastAsia="Calibri" w:hAnsi="Arial" w:cs="Arial"/>
                <w:lang w:eastAsia="ja-JP"/>
              </w:rPr>
            </w:pPr>
            <w:r w:rsidRPr="001F071F">
              <w:rPr>
                <w:rFonts w:ascii="Arial" w:eastAsia="Calibri" w:hAnsi="Arial" w:cs="Arial"/>
                <w:lang w:eastAsia="ja-JP"/>
              </w:rPr>
              <w:t>TIME</w:t>
            </w:r>
          </w:p>
        </w:tc>
      </w:tr>
      <w:tr w:rsidR="00B64BC6" w:rsidRPr="001F071F" w14:paraId="2A14B1AF" w14:textId="77777777" w:rsidTr="47FD73D2">
        <w:trPr>
          <w:trHeight w:val="300"/>
        </w:trPr>
        <w:tc>
          <w:tcPr>
            <w:tcW w:w="10790" w:type="dxa"/>
            <w:gridSpan w:val="4"/>
            <w:shd w:val="clear" w:color="auto" w:fill="404040" w:themeFill="text1" w:themeFillTint="BF"/>
          </w:tcPr>
          <w:p w14:paraId="33B10B8B" w14:textId="77777777" w:rsidR="00B64BC6" w:rsidRPr="001F071F" w:rsidRDefault="00B64BC6" w:rsidP="00DB2ACA">
            <w:pPr>
              <w:rPr>
                <w:rFonts w:ascii="Arial" w:eastAsia="Times New Roman" w:hAnsi="Arial" w:cs="Arial"/>
                <w:b/>
              </w:rPr>
            </w:pPr>
          </w:p>
        </w:tc>
      </w:tr>
      <w:tr w:rsidR="005E220F" w:rsidRPr="001F071F" w14:paraId="7DB1283C" w14:textId="77777777" w:rsidTr="47FD73D2">
        <w:trPr>
          <w:trHeight w:val="300"/>
        </w:trPr>
        <w:tc>
          <w:tcPr>
            <w:tcW w:w="2245" w:type="dxa"/>
          </w:tcPr>
          <w:p w14:paraId="76F14669" w14:textId="77777777" w:rsidR="005E220F" w:rsidRPr="00224B78" w:rsidRDefault="005E220F" w:rsidP="005E220F">
            <w:pPr>
              <w:rPr>
                <w:rFonts w:ascii="Arial" w:eastAsia="Calibri" w:hAnsi="Arial" w:cs="Arial"/>
                <w:b/>
                <w:lang w:eastAsia="ja-JP"/>
              </w:rPr>
            </w:pPr>
            <w:r w:rsidRPr="00224B78">
              <w:rPr>
                <w:rFonts w:ascii="Arial" w:eastAsia="Calibri" w:hAnsi="Arial" w:cs="Arial"/>
                <w:b/>
                <w:lang w:eastAsia="ja-JP"/>
              </w:rPr>
              <w:t>Introduction</w:t>
            </w:r>
          </w:p>
        </w:tc>
        <w:tc>
          <w:tcPr>
            <w:tcW w:w="4605" w:type="dxa"/>
          </w:tcPr>
          <w:p w14:paraId="2127210F" w14:textId="77777777" w:rsidR="005E220F" w:rsidRPr="00224B78" w:rsidRDefault="0085245F" w:rsidP="00337849">
            <w:pPr>
              <w:rPr>
                <w:rFonts w:ascii="Arial" w:eastAsia="Calibri" w:hAnsi="Arial" w:cs="Arial"/>
                <w:lang w:eastAsia="ja-JP"/>
              </w:rPr>
            </w:pPr>
            <w:r>
              <w:rPr>
                <w:rFonts w:ascii="Arial" w:eastAsia="Times New Roman" w:hAnsi="Arial" w:cs="Arial"/>
              </w:rPr>
              <w:t>I</w:t>
            </w:r>
            <w:r w:rsidR="0083655D">
              <w:rPr>
                <w:rFonts w:ascii="Arial" w:eastAsia="Times New Roman" w:hAnsi="Arial" w:cs="Arial"/>
              </w:rPr>
              <w:t>ntroduction of presenters and attendees</w:t>
            </w:r>
          </w:p>
        </w:tc>
        <w:tc>
          <w:tcPr>
            <w:tcW w:w="1871" w:type="dxa"/>
          </w:tcPr>
          <w:p w14:paraId="752BFA1D" w14:textId="77777777" w:rsidR="005E220F" w:rsidRPr="001F071F" w:rsidRDefault="0085245F" w:rsidP="005E220F">
            <w:pPr>
              <w:rPr>
                <w:rFonts w:ascii="Arial" w:eastAsia="Calibri" w:hAnsi="Arial" w:cs="Arial"/>
                <w:lang w:eastAsia="ja-JP"/>
              </w:rPr>
            </w:pPr>
            <w:r>
              <w:rPr>
                <w:rFonts w:ascii="Arial" w:eastAsia="Calibri" w:hAnsi="Arial" w:cs="Arial"/>
                <w:lang w:eastAsia="ja-JP"/>
              </w:rPr>
              <w:t>All</w:t>
            </w:r>
          </w:p>
        </w:tc>
        <w:tc>
          <w:tcPr>
            <w:tcW w:w="2069" w:type="dxa"/>
          </w:tcPr>
          <w:p w14:paraId="3327172F" w14:textId="0F3D6CBF" w:rsidR="005E220F" w:rsidRPr="001F071F" w:rsidRDefault="005F78E2" w:rsidP="005F78E2">
            <w:pPr>
              <w:jc w:val="right"/>
              <w:rPr>
                <w:rFonts w:ascii="Arial" w:eastAsia="Calibri" w:hAnsi="Arial" w:cs="Arial"/>
                <w:lang w:eastAsia="ja-JP"/>
              </w:rPr>
            </w:pPr>
            <w:r>
              <w:rPr>
                <w:rFonts w:ascii="Arial" w:eastAsia="Calibri" w:hAnsi="Arial" w:cs="Arial"/>
                <w:lang w:eastAsia="ja-JP"/>
              </w:rPr>
              <w:t>8:00–</w:t>
            </w:r>
            <w:r w:rsidR="00C34035">
              <w:rPr>
                <w:rFonts w:ascii="Arial" w:eastAsia="Calibri" w:hAnsi="Arial" w:cs="Arial"/>
                <w:lang w:eastAsia="ja-JP"/>
              </w:rPr>
              <w:t>8:</w:t>
            </w:r>
            <w:r w:rsidR="008558D0">
              <w:rPr>
                <w:rFonts w:ascii="Arial" w:eastAsia="Calibri" w:hAnsi="Arial" w:cs="Arial"/>
                <w:lang w:eastAsia="ja-JP"/>
              </w:rPr>
              <w:t>30</w:t>
            </w:r>
            <w:r w:rsidR="0083655D">
              <w:rPr>
                <w:rFonts w:ascii="Arial" w:eastAsia="Calibri" w:hAnsi="Arial" w:cs="Arial"/>
                <w:lang w:eastAsia="ja-JP"/>
              </w:rPr>
              <w:t xml:space="preserve"> am</w:t>
            </w:r>
          </w:p>
        </w:tc>
      </w:tr>
      <w:tr w:rsidR="00914891" w:rsidRPr="001F071F" w14:paraId="11349E7D" w14:textId="77777777" w:rsidTr="47FD73D2">
        <w:trPr>
          <w:trHeight w:val="300"/>
        </w:trPr>
        <w:tc>
          <w:tcPr>
            <w:tcW w:w="2245" w:type="dxa"/>
          </w:tcPr>
          <w:p w14:paraId="3132AF5F" w14:textId="23508EE8" w:rsidR="00914891" w:rsidRPr="00224B78" w:rsidRDefault="001C1994" w:rsidP="00914891">
            <w:pPr>
              <w:rPr>
                <w:rFonts w:ascii="Arial" w:eastAsia="Calibri" w:hAnsi="Arial" w:cs="Arial"/>
                <w:b/>
                <w:lang w:eastAsia="ja-JP"/>
              </w:rPr>
            </w:pPr>
            <w:r>
              <w:rPr>
                <w:rFonts w:ascii="Arial" w:eastAsia="Calibri" w:hAnsi="Arial" w:cs="Arial"/>
                <w:b/>
                <w:lang w:eastAsia="ja-JP"/>
              </w:rPr>
              <w:t>Automation and Exoskeletons</w:t>
            </w:r>
          </w:p>
        </w:tc>
        <w:tc>
          <w:tcPr>
            <w:tcW w:w="4605" w:type="dxa"/>
          </w:tcPr>
          <w:p w14:paraId="1D918316" w14:textId="197E76C2" w:rsidR="00914891" w:rsidRDefault="00017071" w:rsidP="00914891">
            <w:pPr>
              <w:pStyle w:val="ListParagraph"/>
              <w:numPr>
                <w:ilvl w:val="0"/>
                <w:numId w:val="8"/>
              </w:numPr>
              <w:ind w:left="345"/>
              <w:rPr>
                <w:rFonts w:ascii="Arial" w:eastAsia="Calibri" w:hAnsi="Arial" w:cs="Arial"/>
                <w:lang w:eastAsia="ja-JP"/>
              </w:rPr>
            </w:pPr>
            <w:r w:rsidRPr="47FD73D2">
              <w:rPr>
                <w:rFonts w:ascii="Arial" w:eastAsia="Calibri" w:hAnsi="Arial" w:cs="Arial"/>
                <w:lang w:eastAsia="ja-JP"/>
              </w:rPr>
              <w:t xml:space="preserve">Introduce </w:t>
            </w:r>
            <w:r w:rsidR="00B44EB1" w:rsidRPr="47FD73D2">
              <w:rPr>
                <w:rFonts w:ascii="Arial" w:eastAsia="Calibri" w:hAnsi="Arial" w:cs="Arial"/>
                <w:lang w:eastAsia="ja-JP"/>
              </w:rPr>
              <w:t xml:space="preserve">emerging </w:t>
            </w:r>
            <w:r w:rsidR="0096752D" w:rsidRPr="47FD73D2">
              <w:rPr>
                <w:rFonts w:ascii="Arial" w:eastAsia="Calibri" w:hAnsi="Arial" w:cs="Arial"/>
                <w:lang w:eastAsia="ja-JP"/>
              </w:rPr>
              <w:t xml:space="preserve">safety </w:t>
            </w:r>
            <w:r w:rsidR="00E81506" w:rsidRPr="47FD73D2">
              <w:rPr>
                <w:rFonts w:ascii="Arial" w:eastAsia="Calibri" w:hAnsi="Arial" w:cs="Arial"/>
                <w:lang w:eastAsia="ja-JP"/>
              </w:rPr>
              <w:t xml:space="preserve">solutions </w:t>
            </w:r>
            <w:r w:rsidR="00EF4E29" w:rsidRPr="47FD73D2">
              <w:rPr>
                <w:rFonts w:ascii="Arial" w:eastAsia="Calibri" w:hAnsi="Arial" w:cs="Arial"/>
                <w:lang w:eastAsia="ja-JP"/>
              </w:rPr>
              <w:t xml:space="preserve">for mining including </w:t>
            </w:r>
            <w:r w:rsidR="006C6A9D" w:rsidRPr="47FD73D2">
              <w:rPr>
                <w:rFonts w:ascii="Arial" w:eastAsia="Calibri" w:hAnsi="Arial" w:cs="Arial"/>
                <w:lang w:eastAsia="ja-JP"/>
              </w:rPr>
              <w:t xml:space="preserve">automated systems </w:t>
            </w:r>
            <w:r w:rsidR="00EF4E29" w:rsidRPr="47FD73D2">
              <w:rPr>
                <w:rFonts w:ascii="Arial" w:eastAsia="Calibri" w:hAnsi="Arial" w:cs="Arial"/>
                <w:lang w:eastAsia="ja-JP"/>
              </w:rPr>
              <w:t>and exoskeletons</w:t>
            </w:r>
          </w:p>
          <w:p w14:paraId="284B4532" w14:textId="782DBD46" w:rsidR="00EF4E29" w:rsidRDefault="001B041C" w:rsidP="00914891">
            <w:pPr>
              <w:pStyle w:val="ListParagraph"/>
              <w:numPr>
                <w:ilvl w:val="0"/>
                <w:numId w:val="8"/>
              </w:numPr>
              <w:ind w:left="345"/>
              <w:rPr>
                <w:rFonts w:ascii="Arial" w:eastAsia="Calibri" w:hAnsi="Arial" w:cs="Arial"/>
                <w:lang w:eastAsia="ja-JP"/>
              </w:rPr>
            </w:pPr>
            <w:r w:rsidRPr="47FD73D2">
              <w:rPr>
                <w:rFonts w:ascii="Arial" w:eastAsia="Calibri" w:hAnsi="Arial" w:cs="Arial"/>
                <w:lang w:eastAsia="ja-JP"/>
              </w:rPr>
              <w:t>Describe</w:t>
            </w:r>
            <w:r w:rsidR="00341F80" w:rsidRPr="47FD73D2">
              <w:rPr>
                <w:rFonts w:ascii="Arial" w:eastAsia="Calibri" w:hAnsi="Arial" w:cs="Arial"/>
                <w:lang w:eastAsia="ja-JP"/>
              </w:rPr>
              <w:t xml:space="preserve"> </w:t>
            </w:r>
            <w:r w:rsidR="00CB5B04" w:rsidRPr="47FD73D2">
              <w:rPr>
                <w:rFonts w:ascii="Arial" w:eastAsia="Calibri" w:hAnsi="Arial" w:cs="Arial"/>
                <w:lang w:eastAsia="ja-JP"/>
              </w:rPr>
              <w:t xml:space="preserve">a </w:t>
            </w:r>
            <w:r w:rsidR="0096752D" w:rsidRPr="47FD73D2">
              <w:rPr>
                <w:rFonts w:ascii="Arial" w:eastAsia="Calibri" w:hAnsi="Arial" w:cs="Arial"/>
                <w:lang w:eastAsia="ja-JP"/>
              </w:rPr>
              <w:t xml:space="preserve">mining automation </w:t>
            </w:r>
            <w:r w:rsidR="00883FE0" w:rsidRPr="47FD73D2">
              <w:rPr>
                <w:rFonts w:ascii="Arial" w:eastAsia="Calibri" w:hAnsi="Arial" w:cs="Arial"/>
                <w:lang w:eastAsia="ja-JP"/>
              </w:rPr>
              <w:t xml:space="preserve">continuum </w:t>
            </w:r>
          </w:p>
          <w:p w14:paraId="0E51FCAA" w14:textId="03E77229" w:rsidR="00384B90" w:rsidRDefault="00384B90" w:rsidP="00914891">
            <w:pPr>
              <w:pStyle w:val="ListParagraph"/>
              <w:numPr>
                <w:ilvl w:val="0"/>
                <w:numId w:val="8"/>
              </w:numPr>
              <w:ind w:left="345"/>
              <w:rPr>
                <w:rFonts w:ascii="Arial" w:eastAsia="Calibri" w:hAnsi="Arial" w:cs="Arial"/>
                <w:lang w:eastAsia="ja-JP"/>
              </w:rPr>
            </w:pPr>
            <w:r w:rsidRPr="47FD73D2">
              <w:rPr>
                <w:rFonts w:ascii="Arial" w:eastAsia="Calibri" w:hAnsi="Arial" w:cs="Arial"/>
                <w:lang w:eastAsia="ja-JP"/>
              </w:rPr>
              <w:t>Outline some human factors considerations when implementing automat</w:t>
            </w:r>
            <w:r w:rsidR="0090626D" w:rsidRPr="47FD73D2">
              <w:rPr>
                <w:rFonts w:ascii="Arial" w:eastAsia="Calibri" w:hAnsi="Arial" w:cs="Arial"/>
                <w:lang w:eastAsia="ja-JP"/>
              </w:rPr>
              <w:t>ed systems at mines</w:t>
            </w:r>
          </w:p>
          <w:p w14:paraId="2639F180" w14:textId="6A6F42BE" w:rsidR="00DB1AF9" w:rsidRDefault="002B7232" w:rsidP="00914891">
            <w:pPr>
              <w:pStyle w:val="ListParagraph"/>
              <w:numPr>
                <w:ilvl w:val="0"/>
                <w:numId w:val="8"/>
              </w:numPr>
              <w:ind w:left="345"/>
              <w:rPr>
                <w:rFonts w:ascii="Arial" w:eastAsia="Calibri" w:hAnsi="Arial" w:cs="Arial"/>
                <w:lang w:eastAsia="ja-JP"/>
              </w:rPr>
            </w:pPr>
            <w:r w:rsidRPr="47FD73D2">
              <w:rPr>
                <w:rFonts w:ascii="Arial" w:eastAsia="Calibri" w:hAnsi="Arial" w:cs="Arial"/>
                <w:lang w:eastAsia="ja-JP"/>
              </w:rPr>
              <w:t>Summarize</w:t>
            </w:r>
            <w:r w:rsidR="002415A1" w:rsidRPr="47FD73D2">
              <w:rPr>
                <w:rFonts w:ascii="Arial" w:eastAsia="Calibri" w:hAnsi="Arial" w:cs="Arial"/>
                <w:lang w:eastAsia="ja-JP"/>
              </w:rPr>
              <w:t xml:space="preserve"> different types of exoskeletons </w:t>
            </w:r>
            <w:r w:rsidR="00764264" w:rsidRPr="47FD73D2">
              <w:rPr>
                <w:rFonts w:ascii="Arial" w:eastAsia="Calibri" w:hAnsi="Arial" w:cs="Arial"/>
                <w:lang w:eastAsia="ja-JP"/>
              </w:rPr>
              <w:t xml:space="preserve">currently </w:t>
            </w:r>
            <w:r w:rsidR="002415A1" w:rsidRPr="47FD73D2">
              <w:rPr>
                <w:rFonts w:ascii="Arial" w:eastAsia="Calibri" w:hAnsi="Arial" w:cs="Arial"/>
                <w:lang w:eastAsia="ja-JP"/>
              </w:rPr>
              <w:t>available</w:t>
            </w:r>
          </w:p>
          <w:p w14:paraId="572CDA83" w14:textId="53D7FCA1" w:rsidR="00C94886" w:rsidRDefault="002415A1" w:rsidP="00914891">
            <w:pPr>
              <w:pStyle w:val="ListParagraph"/>
              <w:numPr>
                <w:ilvl w:val="0"/>
                <w:numId w:val="8"/>
              </w:numPr>
              <w:ind w:left="345"/>
              <w:rPr>
                <w:rFonts w:ascii="Arial" w:eastAsia="Calibri" w:hAnsi="Arial" w:cs="Arial"/>
                <w:lang w:eastAsia="ja-JP"/>
              </w:rPr>
            </w:pPr>
            <w:r w:rsidRPr="47FD73D2">
              <w:rPr>
                <w:rFonts w:ascii="Arial" w:eastAsia="Calibri" w:hAnsi="Arial" w:cs="Arial"/>
                <w:lang w:eastAsia="ja-JP"/>
              </w:rPr>
              <w:t xml:space="preserve">Describe when </w:t>
            </w:r>
            <w:r w:rsidR="00312EB7" w:rsidRPr="47FD73D2">
              <w:rPr>
                <w:rFonts w:ascii="Arial" w:eastAsia="Calibri" w:hAnsi="Arial" w:cs="Arial"/>
                <w:lang w:eastAsia="ja-JP"/>
              </w:rPr>
              <w:t xml:space="preserve">and how </w:t>
            </w:r>
            <w:r w:rsidR="00465341" w:rsidRPr="47FD73D2">
              <w:rPr>
                <w:rFonts w:ascii="Arial" w:eastAsia="Calibri" w:hAnsi="Arial" w:cs="Arial"/>
                <w:lang w:eastAsia="ja-JP"/>
              </w:rPr>
              <w:t xml:space="preserve">exoskeletons </w:t>
            </w:r>
            <w:r w:rsidR="00DA117C" w:rsidRPr="47FD73D2">
              <w:rPr>
                <w:rFonts w:ascii="Arial" w:eastAsia="Calibri" w:hAnsi="Arial" w:cs="Arial"/>
                <w:lang w:eastAsia="ja-JP"/>
              </w:rPr>
              <w:t>can</w:t>
            </w:r>
            <w:r w:rsidR="00312EB7" w:rsidRPr="47FD73D2">
              <w:rPr>
                <w:rFonts w:ascii="Arial" w:eastAsia="Calibri" w:hAnsi="Arial" w:cs="Arial"/>
                <w:lang w:eastAsia="ja-JP"/>
              </w:rPr>
              <w:t xml:space="preserve"> help reduce musculoskeletal disorders</w:t>
            </w:r>
          </w:p>
          <w:p w14:paraId="007E8EFB" w14:textId="493AEB51" w:rsidR="002415A1" w:rsidRPr="00971C8B" w:rsidRDefault="00D30C2F" w:rsidP="00914891">
            <w:pPr>
              <w:pStyle w:val="ListParagraph"/>
              <w:numPr>
                <w:ilvl w:val="0"/>
                <w:numId w:val="8"/>
              </w:numPr>
              <w:ind w:left="345"/>
              <w:rPr>
                <w:rFonts w:ascii="Arial" w:eastAsia="Calibri" w:hAnsi="Arial" w:cs="Arial"/>
                <w:lang w:eastAsia="ja-JP"/>
              </w:rPr>
            </w:pPr>
            <w:r w:rsidRPr="47FD73D2">
              <w:rPr>
                <w:rFonts w:ascii="Arial" w:eastAsia="Calibri" w:hAnsi="Arial" w:cs="Arial"/>
                <w:lang w:eastAsia="ja-JP"/>
              </w:rPr>
              <w:t xml:space="preserve">Highlight some key </w:t>
            </w:r>
            <w:r w:rsidR="00CD127E" w:rsidRPr="47FD73D2">
              <w:rPr>
                <w:rFonts w:ascii="Arial" w:eastAsia="Calibri" w:hAnsi="Arial" w:cs="Arial"/>
                <w:lang w:eastAsia="ja-JP"/>
              </w:rPr>
              <w:t xml:space="preserve">steps to </w:t>
            </w:r>
            <w:r w:rsidR="00D715A4" w:rsidRPr="47FD73D2">
              <w:rPr>
                <w:rFonts w:ascii="Arial" w:eastAsia="Calibri" w:hAnsi="Arial" w:cs="Arial"/>
                <w:lang w:eastAsia="ja-JP"/>
              </w:rPr>
              <w:t xml:space="preserve">successfully </w:t>
            </w:r>
            <w:r w:rsidR="00CD127E" w:rsidRPr="47FD73D2">
              <w:rPr>
                <w:rFonts w:ascii="Arial" w:eastAsia="Calibri" w:hAnsi="Arial" w:cs="Arial"/>
                <w:lang w:eastAsia="ja-JP"/>
              </w:rPr>
              <w:t xml:space="preserve">implement </w:t>
            </w:r>
            <w:r w:rsidR="001A4787" w:rsidRPr="47FD73D2">
              <w:rPr>
                <w:rFonts w:ascii="Arial" w:eastAsia="Calibri" w:hAnsi="Arial" w:cs="Arial"/>
                <w:lang w:eastAsia="ja-JP"/>
              </w:rPr>
              <w:t>exoskeletons</w:t>
            </w:r>
            <w:r w:rsidR="006C6A9D" w:rsidRPr="47FD73D2">
              <w:rPr>
                <w:rFonts w:ascii="Arial" w:eastAsia="Calibri" w:hAnsi="Arial" w:cs="Arial"/>
                <w:lang w:eastAsia="ja-JP"/>
              </w:rPr>
              <w:t xml:space="preserve"> </w:t>
            </w:r>
            <w:r w:rsidR="001A4787" w:rsidRPr="47FD73D2">
              <w:rPr>
                <w:rFonts w:ascii="Arial" w:eastAsia="Calibri" w:hAnsi="Arial" w:cs="Arial"/>
                <w:lang w:eastAsia="ja-JP"/>
              </w:rPr>
              <w:t xml:space="preserve">at </w:t>
            </w:r>
            <w:r w:rsidR="00C43268" w:rsidRPr="47FD73D2">
              <w:rPr>
                <w:rFonts w:ascii="Arial" w:eastAsia="Calibri" w:hAnsi="Arial" w:cs="Arial"/>
                <w:lang w:eastAsia="ja-JP"/>
              </w:rPr>
              <w:t>mines</w:t>
            </w:r>
          </w:p>
        </w:tc>
        <w:tc>
          <w:tcPr>
            <w:tcW w:w="1871" w:type="dxa"/>
          </w:tcPr>
          <w:p w14:paraId="123FE0E5" w14:textId="099ED52D" w:rsidR="00914891" w:rsidRDefault="00914891" w:rsidP="00914891">
            <w:pPr>
              <w:rPr>
                <w:rFonts w:ascii="Arial" w:eastAsia="Calibri" w:hAnsi="Arial" w:cs="Arial"/>
                <w:lang w:eastAsia="ja-JP"/>
              </w:rPr>
            </w:pPr>
            <w:r w:rsidRPr="002A2772">
              <w:rPr>
                <w:rFonts w:ascii="Arial" w:eastAsia="Calibri" w:hAnsi="Arial" w:cs="Arial"/>
                <w:lang w:eastAsia="ja-JP"/>
              </w:rPr>
              <w:t>Mahiyar Nasarwanji</w:t>
            </w:r>
          </w:p>
        </w:tc>
        <w:tc>
          <w:tcPr>
            <w:tcW w:w="2069" w:type="dxa"/>
          </w:tcPr>
          <w:p w14:paraId="37A35D07" w14:textId="1C7B21E9" w:rsidR="00914891" w:rsidRDefault="00914891" w:rsidP="00914891">
            <w:pPr>
              <w:jc w:val="right"/>
              <w:rPr>
                <w:rFonts w:ascii="Arial" w:eastAsia="Calibri" w:hAnsi="Arial" w:cs="Arial"/>
                <w:lang w:eastAsia="ja-JP"/>
              </w:rPr>
            </w:pPr>
            <w:r w:rsidRPr="47FD73D2">
              <w:rPr>
                <w:rFonts w:ascii="Arial" w:eastAsia="Calibri" w:hAnsi="Arial" w:cs="Arial"/>
                <w:lang w:eastAsia="ja-JP"/>
              </w:rPr>
              <w:t>8:30 –9:45 am</w:t>
            </w:r>
          </w:p>
        </w:tc>
      </w:tr>
      <w:tr w:rsidR="00914891" w:rsidRPr="001F071F" w14:paraId="379B1E8A" w14:textId="77777777" w:rsidTr="47FD73D2">
        <w:trPr>
          <w:trHeight w:val="300"/>
        </w:trPr>
        <w:tc>
          <w:tcPr>
            <w:tcW w:w="2245" w:type="dxa"/>
            <w:shd w:val="clear" w:color="auto" w:fill="404040" w:themeFill="text1" w:themeFillTint="BF"/>
          </w:tcPr>
          <w:p w14:paraId="339B3261" w14:textId="76E9E5A0" w:rsidR="00914891" w:rsidRPr="00914891" w:rsidRDefault="00914891" w:rsidP="00914891">
            <w:pPr>
              <w:rPr>
                <w:rFonts w:ascii="Arial" w:eastAsia="Calibri" w:hAnsi="Arial" w:cs="Arial"/>
                <w:b/>
                <w:color w:val="FFFFFF" w:themeColor="background1"/>
                <w:lang w:eastAsia="ja-JP"/>
              </w:rPr>
            </w:pPr>
            <w:r>
              <w:rPr>
                <w:rFonts w:ascii="Arial" w:eastAsia="Calibri" w:hAnsi="Arial" w:cs="Arial"/>
                <w:b/>
                <w:color w:val="FFFFFF" w:themeColor="background1"/>
                <w:lang w:eastAsia="ja-JP"/>
              </w:rPr>
              <w:t>Break</w:t>
            </w:r>
          </w:p>
        </w:tc>
        <w:tc>
          <w:tcPr>
            <w:tcW w:w="4605" w:type="dxa"/>
            <w:shd w:val="clear" w:color="auto" w:fill="404040" w:themeFill="text1" w:themeFillTint="BF"/>
          </w:tcPr>
          <w:p w14:paraId="63E875FF" w14:textId="77777777" w:rsidR="00914891" w:rsidRDefault="00914891" w:rsidP="00914891">
            <w:pPr>
              <w:rPr>
                <w:rFonts w:ascii="Arial" w:eastAsia="Calibri" w:hAnsi="Arial" w:cs="Arial"/>
                <w:lang w:eastAsia="ja-JP"/>
              </w:rPr>
            </w:pPr>
          </w:p>
        </w:tc>
        <w:tc>
          <w:tcPr>
            <w:tcW w:w="1871" w:type="dxa"/>
            <w:shd w:val="clear" w:color="auto" w:fill="404040" w:themeFill="text1" w:themeFillTint="BF"/>
          </w:tcPr>
          <w:p w14:paraId="6803B1C5" w14:textId="77777777" w:rsidR="00914891" w:rsidRPr="002A2772" w:rsidRDefault="00914891" w:rsidP="00914891">
            <w:pPr>
              <w:rPr>
                <w:rFonts w:ascii="Arial" w:eastAsia="Calibri" w:hAnsi="Arial" w:cs="Arial"/>
                <w:lang w:eastAsia="ja-JP"/>
              </w:rPr>
            </w:pPr>
          </w:p>
        </w:tc>
        <w:tc>
          <w:tcPr>
            <w:tcW w:w="2069" w:type="dxa"/>
            <w:shd w:val="clear" w:color="auto" w:fill="404040" w:themeFill="text1" w:themeFillTint="BF"/>
          </w:tcPr>
          <w:p w14:paraId="70C7AF40" w14:textId="2B9C500A" w:rsidR="00914891" w:rsidRPr="00914891" w:rsidRDefault="00914891" w:rsidP="00914891">
            <w:pPr>
              <w:jc w:val="right"/>
              <w:rPr>
                <w:rFonts w:ascii="Arial" w:eastAsia="Calibri" w:hAnsi="Arial" w:cs="Arial"/>
                <w:b/>
                <w:bCs/>
                <w:lang w:eastAsia="ja-JP"/>
              </w:rPr>
            </w:pPr>
            <w:r w:rsidRPr="00914891">
              <w:rPr>
                <w:rFonts w:ascii="Arial" w:eastAsia="Calibri" w:hAnsi="Arial" w:cs="Arial"/>
                <w:b/>
                <w:bCs/>
                <w:color w:val="FFFFFF" w:themeColor="background1"/>
                <w:lang w:eastAsia="ja-JP"/>
              </w:rPr>
              <w:t>9:45 – 10:00 am</w:t>
            </w:r>
          </w:p>
        </w:tc>
      </w:tr>
      <w:tr w:rsidR="00914891" w:rsidRPr="00386B1D" w14:paraId="34A6B3B7" w14:textId="77777777" w:rsidTr="47FD73D2">
        <w:trPr>
          <w:trHeight w:val="300"/>
        </w:trPr>
        <w:tc>
          <w:tcPr>
            <w:tcW w:w="2245" w:type="dxa"/>
          </w:tcPr>
          <w:p w14:paraId="10616E8D" w14:textId="53C5D452" w:rsidR="00914891" w:rsidRPr="00386B1D" w:rsidRDefault="00284BB8" w:rsidP="00914891">
            <w:pPr>
              <w:rPr>
                <w:rFonts w:ascii="Arial" w:eastAsia="Calibri" w:hAnsi="Arial" w:cs="Arial"/>
                <w:b/>
                <w:lang w:eastAsia="ja-JP"/>
              </w:rPr>
            </w:pPr>
            <w:r w:rsidRPr="00386B1D">
              <w:rPr>
                <w:rFonts w:ascii="Arial" w:eastAsia="Calibri" w:hAnsi="Arial" w:cs="Arial"/>
                <w:b/>
                <w:lang w:eastAsia="ja-JP"/>
              </w:rPr>
              <w:t>Worker Experience and Training</w:t>
            </w:r>
          </w:p>
        </w:tc>
        <w:tc>
          <w:tcPr>
            <w:tcW w:w="4605" w:type="dxa"/>
          </w:tcPr>
          <w:p w14:paraId="18ED75D9" w14:textId="0E6DD9FC" w:rsidR="00205B56" w:rsidRPr="00386B1D" w:rsidRDefault="00205B56" w:rsidP="47FD73D2">
            <w:pPr>
              <w:pStyle w:val="paragraph"/>
              <w:numPr>
                <w:ilvl w:val="0"/>
                <w:numId w:val="13"/>
              </w:numPr>
              <w:shd w:val="clear" w:color="auto" w:fill="FFFFFF" w:themeFill="background1"/>
              <w:rPr>
                <w:rFonts w:ascii="Arial" w:hAnsi="Arial" w:cs="Arial"/>
                <w:color w:val="000000"/>
              </w:rPr>
            </w:pPr>
            <w:r w:rsidRPr="00386B1D">
              <w:rPr>
                <w:rFonts w:ascii="Arial" w:hAnsi="Arial" w:cs="Arial"/>
                <w:color w:val="000000" w:themeColor="text1"/>
              </w:rPr>
              <w:t>The relationship between work experience and risk of injury</w:t>
            </w:r>
          </w:p>
          <w:p w14:paraId="68CECB4A" w14:textId="77777777" w:rsidR="00205B56" w:rsidRPr="00386B1D" w:rsidRDefault="00205B56" w:rsidP="47FD73D2">
            <w:pPr>
              <w:pStyle w:val="paragraph"/>
              <w:numPr>
                <w:ilvl w:val="0"/>
                <w:numId w:val="13"/>
              </w:numPr>
              <w:shd w:val="clear" w:color="auto" w:fill="FFFFFF" w:themeFill="background1"/>
              <w:rPr>
                <w:rFonts w:ascii="Arial" w:hAnsi="Arial" w:cs="Arial"/>
                <w:color w:val="000000"/>
              </w:rPr>
            </w:pPr>
            <w:r w:rsidRPr="00386B1D">
              <w:rPr>
                <w:rFonts w:ascii="Arial" w:hAnsi="Arial" w:cs="Arial"/>
                <w:color w:val="000000" w:themeColor="text1"/>
              </w:rPr>
              <w:t>Ways to reduce the risk of inexperience</w:t>
            </w:r>
          </w:p>
          <w:p w14:paraId="6059BE55" w14:textId="77777777" w:rsidR="00205B56" w:rsidRPr="00386B1D" w:rsidRDefault="00205B56" w:rsidP="47FD73D2">
            <w:pPr>
              <w:pStyle w:val="paragraph"/>
              <w:numPr>
                <w:ilvl w:val="0"/>
                <w:numId w:val="13"/>
              </w:numPr>
              <w:shd w:val="clear" w:color="auto" w:fill="FFFFFF" w:themeFill="background1"/>
              <w:rPr>
                <w:rFonts w:ascii="Arial" w:hAnsi="Arial" w:cs="Arial"/>
                <w:color w:val="000000"/>
              </w:rPr>
            </w:pPr>
            <w:r w:rsidRPr="00386B1D">
              <w:rPr>
                <w:rFonts w:ascii="Arial" w:hAnsi="Arial" w:cs="Arial"/>
                <w:color w:val="000000" w:themeColor="text1"/>
              </w:rPr>
              <w:t>Training methods for today’s classrooms and screens</w:t>
            </w:r>
          </w:p>
          <w:p w14:paraId="1F039DEB" w14:textId="74FAF9D3" w:rsidR="00914891" w:rsidRPr="00386B1D" w:rsidRDefault="00205B56" w:rsidP="47FD73D2">
            <w:pPr>
              <w:pStyle w:val="paragraph"/>
              <w:numPr>
                <w:ilvl w:val="0"/>
                <w:numId w:val="13"/>
              </w:numPr>
              <w:shd w:val="clear" w:color="auto" w:fill="FFFFFF" w:themeFill="background1"/>
              <w:rPr>
                <w:rFonts w:ascii="Arial" w:hAnsi="Arial" w:cs="Arial"/>
                <w:color w:val="000000"/>
              </w:rPr>
            </w:pPr>
            <w:r w:rsidRPr="00386B1D">
              <w:rPr>
                <w:rFonts w:ascii="Arial" w:hAnsi="Arial" w:cs="Arial"/>
                <w:color w:val="000000" w:themeColor="text1"/>
              </w:rPr>
              <w:t>NIOSH’s available miner training materials</w:t>
            </w:r>
          </w:p>
        </w:tc>
        <w:tc>
          <w:tcPr>
            <w:tcW w:w="1871" w:type="dxa"/>
          </w:tcPr>
          <w:p w14:paraId="68CE029B" w14:textId="5980A6D7" w:rsidR="00914891" w:rsidRPr="00386B1D" w:rsidRDefault="00632564" w:rsidP="00914891">
            <w:pPr>
              <w:rPr>
                <w:rFonts w:ascii="Arial" w:eastAsia="Calibri" w:hAnsi="Arial" w:cs="Arial"/>
                <w:lang w:eastAsia="ja-JP"/>
              </w:rPr>
            </w:pPr>
            <w:r w:rsidRPr="00386B1D">
              <w:rPr>
                <w:rFonts w:ascii="Arial" w:eastAsia="Calibri" w:hAnsi="Arial" w:cs="Arial"/>
                <w:lang w:eastAsia="ja-JP"/>
              </w:rPr>
              <w:t>Launa Mallett</w:t>
            </w:r>
          </w:p>
        </w:tc>
        <w:tc>
          <w:tcPr>
            <w:tcW w:w="2069" w:type="dxa"/>
          </w:tcPr>
          <w:p w14:paraId="4246E407" w14:textId="4B78C5AA" w:rsidR="00914891" w:rsidRPr="00386B1D" w:rsidRDefault="00914891" w:rsidP="00914891">
            <w:pPr>
              <w:jc w:val="right"/>
              <w:rPr>
                <w:rFonts w:ascii="Arial" w:eastAsia="Calibri" w:hAnsi="Arial" w:cs="Arial"/>
                <w:lang w:eastAsia="ja-JP"/>
              </w:rPr>
            </w:pPr>
            <w:r w:rsidRPr="00386B1D">
              <w:rPr>
                <w:rFonts w:ascii="Arial" w:eastAsia="Calibri" w:hAnsi="Arial" w:cs="Arial"/>
                <w:lang w:eastAsia="ja-JP"/>
              </w:rPr>
              <w:t>10:00 – 11:15 am</w:t>
            </w:r>
          </w:p>
        </w:tc>
      </w:tr>
      <w:tr w:rsidR="00914891" w:rsidRPr="0083655D" w14:paraId="62359D02" w14:textId="77777777" w:rsidTr="47FD73D2">
        <w:trPr>
          <w:trHeight w:val="300"/>
        </w:trPr>
        <w:tc>
          <w:tcPr>
            <w:tcW w:w="10790" w:type="dxa"/>
            <w:gridSpan w:val="4"/>
            <w:shd w:val="clear" w:color="auto" w:fill="404040" w:themeFill="text1" w:themeFillTint="BF"/>
          </w:tcPr>
          <w:p w14:paraId="1716D6A8" w14:textId="66A162F9" w:rsidR="00914891" w:rsidRPr="0083655D" w:rsidRDefault="00914891" w:rsidP="47FD73D2">
            <w:pPr>
              <w:jc w:val="right"/>
              <w:rPr>
                <w:rFonts w:ascii="Arial" w:eastAsia="Calibri" w:hAnsi="Arial" w:cs="Arial"/>
                <w:b/>
                <w:bCs/>
                <w:color w:val="FFFFFF" w:themeColor="background1"/>
                <w:lang w:eastAsia="ja-JP"/>
              </w:rPr>
            </w:pPr>
            <w:r w:rsidRPr="47FD73D2">
              <w:rPr>
                <w:rFonts w:ascii="Arial" w:eastAsia="Calibri" w:hAnsi="Arial" w:cs="Arial"/>
                <w:b/>
                <w:bCs/>
                <w:color w:val="FFFFFF" w:themeColor="background1"/>
                <w:lang w:eastAsia="ja-JP"/>
              </w:rPr>
              <w:t>Lunch</w:t>
            </w:r>
            <w:r w:rsidR="003C629E" w:rsidRPr="47FD73D2">
              <w:rPr>
                <w:rFonts w:ascii="Arial" w:eastAsia="Calibri" w:hAnsi="Arial" w:cs="Arial"/>
                <w:b/>
                <w:bCs/>
                <w:color w:val="FFFFFF" w:themeColor="background1"/>
                <w:lang w:eastAsia="ja-JP"/>
              </w:rPr>
              <w:t>, open Q&amp;A</w:t>
            </w:r>
            <w:r w:rsidRPr="47FD73D2">
              <w:rPr>
                <w:rFonts w:ascii="Arial" w:eastAsia="Calibri" w:hAnsi="Arial" w:cs="Arial"/>
                <w:b/>
                <w:bCs/>
                <w:color w:val="FFFFFF" w:themeColor="background1"/>
                <w:lang w:eastAsia="ja-JP"/>
              </w:rPr>
              <w:t xml:space="preserve">                                                                                                            11:</w:t>
            </w:r>
            <w:r w:rsidR="003C629E" w:rsidRPr="47FD73D2">
              <w:rPr>
                <w:rFonts w:ascii="Arial" w:eastAsia="Calibri" w:hAnsi="Arial" w:cs="Arial"/>
                <w:b/>
                <w:bCs/>
                <w:color w:val="FFFFFF" w:themeColor="background1"/>
                <w:lang w:eastAsia="ja-JP"/>
              </w:rPr>
              <w:t>15</w:t>
            </w:r>
            <w:r w:rsidRPr="47FD73D2">
              <w:rPr>
                <w:rFonts w:ascii="Arial" w:eastAsia="Calibri" w:hAnsi="Arial" w:cs="Arial"/>
                <w:b/>
                <w:bCs/>
                <w:color w:val="FFFFFF" w:themeColor="background1"/>
                <w:lang w:eastAsia="ja-JP"/>
              </w:rPr>
              <w:t xml:space="preserve"> –12:30 pm</w:t>
            </w:r>
          </w:p>
        </w:tc>
      </w:tr>
      <w:tr w:rsidR="00914891" w:rsidRPr="001F071F" w14:paraId="61713039" w14:textId="77777777" w:rsidTr="47FD73D2">
        <w:trPr>
          <w:trHeight w:val="300"/>
        </w:trPr>
        <w:tc>
          <w:tcPr>
            <w:tcW w:w="2245" w:type="dxa"/>
          </w:tcPr>
          <w:p w14:paraId="3DD5357C" w14:textId="608E5CDD" w:rsidR="00914891" w:rsidRPr="00093348" w:rsidRDefault="00284BB8" w:rsidP="00914891">
            <w:pPr>
              <w:rPr>
                <w:rFonts w:ascii="Arial" w:eastAsia="Calibri" w:hAnsi="Arial" w:cs="Arial"/>
                <w:b/>
                <w:lang w:eastAsia="ja-JP"/>
              </w:rPr>
            </w:pPr>
            <w:r>
              <w:rPr>
                <w:rFonts w:ascii="Arial" w:eastAsia="Calibri" w:hAnsi="Arial" w:cs="Arial"/>
                <w:b/>
                <w:lang w:eastAsia="ja-JP"/>
              </w:rPr>
              <w:t>Miner Health</w:t>
            </w:r>
          </w:p>
        </w:tc>
        <w:tc>
          <w:tcPr>
            <w:tcW w:w="4605" w:type="dxa"/>
          </w:tcPr>
          <w:p w14:paraId="734AB6C0" w14:textId="59EBC898" w:rsidR="2792F75C" w:rsidRDefault="2792F75C" w:rsidP="47FD73D2">
            <w:pPr>
              <w:pStyle w:val="ListParagraph"/>
              <w:numPr>
                <w:ilvl w:val="0"/>
                <w:numId w:val="10"/>
              </w:numPr>
              <w:rPr>
                <w:rFonts w:ascii="Arial" w:eastAsia="Calibri" w:hAnsi="Arial" w:cs="Arial"/>
                <w:lang w:eastAsia="ja-JP"/>
              </w:rPr>
            </w:pPr>
            <w:r w:rsidRPr="47FD73D2">
              <w:rPr>
                <w:rFonts w:ascii="Arial" w:eastAsia="Calibri" w:hAnsi="Arial" w:cs="Arial"/>
                <w:lang w:eastAsia="ja-JP"/>
              </w:rPr>
              <w:t xml:space="preserve">Discuss </w:t>
            </w:r>
            <w:r w:rsidR="5DBC536A" w:rsidRPr="47FD73D2">
              <w:rPr>
                <w:rFonts w:ascii="Arial" w:eastAsia="Calibri" w:hAnsi="Arial" w:cs="Arial"/>
                <w:lang w:eastAsia="ja-JP"/>
              </w:rPr>
              <w:t xml:space="preserve">what </w:t>
            </w:r>
            <w:r w:rsidRPr="47FD73D2">
              <w:rPr>
                <w:rFonts w:ascii="Arial" w:eastAsia="Calibri" w:hAnsi="Arial" w:cs="Arial"/>
                <w:lang w:eastAsia="ja-JP"/>
              </w:rPr>
              <w:t xml:space="preserve">we know and do not know about mine worker’s health </w:t>
            </w:r>
          </w:p>
          <w:p w14:paraId="391F9BF4" w14:textId="388B0987" w:rsidR="00EF0E0F" w:rsidRPr="00816600" w:rsidRDefault="2792F75C" w:rsidP="00914891">
            <w:pPr>
              <w:pStyle w:val="ListParagraph"/>
              <w:numPr>
                <w:ilvl w:val="0"/>
                <w:numId w:val="10"/>
              </w:numPr>
              <w:rPr>
                <w:rFonts w:ascii="Arial" w:eastAsia="Calibri" w:hAnsi="Arial" w:cs="Arial"/>
                <w:lang w:eastAsia="ja-JP"/>
              </w:rPr>
            </w:pPr>
            <w:r w:rsidRPr="47FD73D2">
              <w:rPr>
                <w:rFonts w:ascii="Arial" w:eastAsia="Calibri" w:hAnsi="Arial" w:cs="Arial"/>
                <w:lang w:eastAsia="ja-JP"/>
              </w:rPr>
              <w:t>Introduce the NIOSH Miner Health Program and Mine Health Partnership</w:t>
            </w:r>
          </w:p>
          <w:p w14:paraId="3FC5F13A" w14:textId="4ABC2431" w:rsidR="00EF0E0F" w:rsidRPr="00816600" w:rsidRDefault="2D61BDBA" w:rsidP="00914891">
            <w:pPr>
              <w:pStyle w:val="ListParagraph"/>
              <w:numPr>
                <w:ilvl w:val="0"/>
                <w:numId w:val="10"/>
              </w:numPr>
              <w:rPr>
                <w:rFonts w:ascii="Arial" w:eastAsia="Calibri" w:hAnsi="Arial" w:cs="Arial"/>
                <w:lang w:eastAsia="ja-JP"/>
              </w:rPr>
            </w:pPr>
            <w:r w:rsidRPr="47FD73D2">
              <w:rPr>
                <w:rFonts w:ascii="Arial" w:eastAsia="Calibri" w:hAnsi="Arial" w:cs="Arial"/>
                <w:lang w:eastAsia="ja-JP"/>
              </w:rPr>
              <w:t>Current NIOSH research addressing mine worker health</w:t>
            </w:r>
          </w:p>
        </w:tc>
        <w:tc>
          <w:tcPr>
            <w:tcW w:w="1871" w:type="dxa"/>
          </w:tcPr>
          <w:p w14:paraId="27C41FDB" w14:textId="20FF81A5" w:rsidR="00914891" w:rsidRPr="001F071F" w:rsidRDefault="00AC4CDA" w:rsidP="00914891">
            <w:pPr>
              <w:rPr>
                <w:rFonts w:ascii="Arial" w:eastAsia="Calibri" w:hAnsi="Arial" w:cs="Arial"/>
                <w:lang w:eastAsia="ja-JP"/>
              </w:rPr>
            </w:pPr>
            <w:r>
              <w:rPr>
                <w:rFonts w:ascii="Arial" w:eastAsia="Calibri" w:hAnsi="Arial" w:cs="Arial"/>
                <w:lang w:eastAsia="ja-JP"/>
              </w:rPr>
              <w:t>Brianna Eiter</w:t>
            </w:r>
          </w:p>
        </w:tc>
        <w:tc>
          <w:tcPr>
            <w:tcW w:w="2069" w:type="dxa"/>
          </w:tcPr>
          <w:p w14:paraId="2A06C99C" w14:textId="39802E60" w:rsidR="00914891" w:rsidRPr="001F071F" w:rsidRDefault="003C629E" w:rsidP="00914891">
            <w:pPr>
              <w:jc w:val="right"/>
              <w:rPr>
                <w:rFonts w:ascii="Arial" w:eastAsia="Calibri" w:hAnsi="Arial" w:cs="Arial"/>
                <w:lang w:eastAsia="ja-JP"/>
              </w:rPr>
            </w:pPr>
            <w:r>
              <w:rPr>
                <w:rFonts w:ascii="Arial" w:eastAsia="Calibri" w:hAnsi="Arial" w:cs="Arial"/>
                <w:lang w:eastAsia="ja-JP"/>
              </w:rPr>
              <w:t xml:space="preserve">12:30 – 1:30 </w:t>
            </w:r>
            <w:r w:rsidR="00914891">
              <w:rPr>
                <w:rFonts w:ascii="Arial" w:eastAsia="Calibri" w:hAnsi="Arial" w:cs="Arial"/>
                <w:lang w:eastAsia="ja-JP"/>
              </w:rPr>
              <w:t>pm</w:t>
            </w:r>
          </w:p>
        </w:tc>
      </w:tr>
      <w:tr w:rsidR="00914891" w:rsidRPr="001F071F" w14:paraId="0543C00A" w14:textId="77777777" w:rsidTr="47FD73D2">
        <w:trPr>
          <w:trHeight w:val="300"/>
        </w:trPr>
        <w:tc>
          <w:tcPr>
            <w:tcW w:w="10790" w:type="dxa"/>
            <w:gridSpan w:val="4"/>
            <w:shd w:val="clear" w:color="auto" w:fill="404040" w:themeFill="text1" w:themeFillTint="BF"/>
          </w:tcPr>
          <w:p w14:paraId="4E53F0A5" w14:textId="3DDE6A34" w:rsidR="00914891" w:rsidRPr="0083655D" w:rsidRDefault="00914891" w:rsidP="00914891">
            <w:pPr>
              <w:jc w:val="right"/>
              <w:rPr>
                <w:rFonts w:ascii="Arial" w:eastAsia="Calibri" w:hAnsi="Arial" w:cs="Arial"/>
                <w:b/>
                <w:color w:val="FFFFFF" w:themeColor="background1"/>
                <w:lang w:eastAsia="ja-JP"/>
              </w:rPr>
            </w:pPr>
          </w:p>
        </w:tc>
      </w:tr>
      <w:tr w:rsidR="00914891" w:rsidRPr="001F071F" w14:paraId="565D64F6" w14:textId="77777777" w:rsidTr="47FD73D2">
        <w:trPr>
          <w:trHeight w:val="300"/>
        </w:trPr>
        <w:tc>
          <w:tcPr>
            <w:tcW w:w="2245" w:type="dxa"/>
          </w:tcPr>
          <w:p w14:paraId="72B2116D" w14:textId="26C1FDA6" w:rsidR="00914891" w:rsidRDefault="00284BB8" w:rsidP="00914891">
            <w:pPr>
              <w:rPr>
                <w:rFonts w:ascii="Arial" w:eastAsia="Calibri" w:hAnsi="Arial" w:cs="Arial"/>
                <w:b/>
                <w:lang w:eastAsia="ja-JP"/>
              </w:rPr>
            </w:pPr>
            <w:r>
              <w:rPr>
                <w:rFonts w:ascii="Arial" w:eastAsia="Calibri" w:hAnsi="Arial" w:cs="Arial"/>
                <w:b/>
                <w:lang w:eastAsia="ja-JP"/>
              </w:rPr>
              <w:t xml:space="preserve">Silica </w:t>
            </w:r>
          </w:p>
        </w:tc>
        <w:tc>
          <w:tcPr>
            <w:tcW w:w="4605" w:type="dxa"/>
          </w:tcPr>
          <w:p w14:paraId="1D9BDCA3" w14:textId="1B1CF7D2" w:rsidR="00914891" w:rsidRPr="00026B71" w:rsidRDefault="05BA49EE" w:rsidP="00914891">
            <w:pPr>
              <w:pStyle w:val="ListParagraph"/>
              <w:numPr>
                <w:ilvl w:val="0"/>
                <w:numId w:val="7"/>
              </w:numPr>
              <w:rPr>
                <w:rFonts w:ascii="Arial" w:eastAsia="Calibri" w:hAnsi="Arial" w:cs="Arial"/>
                <w:lang w:eastAsia="ja-JP"/>
              </w:rPr>
            </w:pPr>
            <w:r w:rsidRPr="47FD73D2">
              <w:rPr>
                <w:rFonts w:ascii="Arial" w:eastAsia="Calibri" w:hAnsi="Arial" w:cs="Arial"/>
                <w:lang w:eastAsia="ja-JP"/>
              </w:rPr>
              <w:t xml:space="preserve">Define </w:t>
            </w:r>
            <w:r w:rsidR="63E042BC" w:rsidRPr="47FD73D2">
              <w:rPr>
                <w:rFonts w:ascii="Arial" w:eastAsia="Calibri" w:hAnsi="Arial" w:cs="Arial"/>
                <w:lang w:eastAsia="ja-JP"/>
              </w:rPr>
              <w:t>respirable crystalline silica &amp; hea</w:t>
            </w:r>
            <w:r w:rsidR="0554A958" w:rsidRPr="47FD73D2">
              <w:rPr>
                <w:rFonts w:ascii="Arial" w:eastAsia="Calibri" w:hAnsi="Arial" w:cs="Arial"/>
                <w:lang w:eastAsia="ja-JP"/>
              </w:rPr>
              <w:t>l</w:t>
            </w:r>
            <w:r w:rsidR="63E042BC" w:rsidRPr="47FD73D2">
              <w:rPr>
                <w:rFonts w:ascii="Arial" w:eastAsia="Calibri" w:hAnsi="Arial" w:cs="Arial"/>
                <w:lang w:eastAsia="ja-JP"/>
              </w:rPr>
              <w:t>th outcomes connected to exposure</w:t>
            </w:r>
          </w:p>
          <w:p w14:paraId="2CA40FFA" w14:textId="5B5BA8DD" w:rsidR="560D8C43" w:rsidRDefault="560D8C43" w:rsidP="47FD73D2">
            <w:pPr>
              <w:pStyle w:val="ListParagraph"/>
              <w:numPr>
                <w:ilvl w:val="0"/>
                <w:numId w:val="7"/>
              </w:numPr>
              <w:rPr>
                <w:rFonts w:ascii="Arial" w:eastAsia="Calibri" w:hAnsi="Arial" w:cs="Arial"/>
                <w:lang w:eastAsia="ja-JP"/>
              </w:rPr>
            </w:pPr>
            <w:r w:rsidRPr="47FD73D2">
              <w:rPr>
                <w:rFonts w:ascii="Arial" w:eastAsia="Calibri" w:hAnsi="Arial" w:cs="Arial"/>
                <w:lang w:eastAsia="ja-JP"/>
              </w:rPr>
              <w:t xml:space="preserve">What do we know about </w:t>
            </w:r>
            <w:r w:rsidR="00DC33DE" w:rsidRPr="47FD73D2">
              <w:rPr>
                <w:rFonts w:ascii="Arial" w:eastAsia="Calibri" w:hAnsi="Arial" w:cs="Arial"/>
                <w:lang w:eastAsia="ja-JP"/>
              </w:rPr>
              <w:t xml:space="preserve">silica </w:t>
            </w:r>
            <w:r w:rsidRPr="47FD73D2">
              <w:rPr>
                <w:rFonts w:ascii="Arial" w:eastAsia="Calibri" w:hAnsi="Arial" w:cs="Arial"/>
                <w:lang w:eastAsia="ja-JP"/>
              </w:rPr>
              <w:t>exposures</w:t>
            </w:r>
          </w:p>
          <w:p w14:paraId="0118FC86" w14:textId="4FF05C4D" w:rsidR="00914891" w:rsidRPr="00026B71" w:rsidRDefault="7D2D288C" w:rsidP="00914891">
            <w:pPr>
              <w:pStyle w:val="ListParagraph"/>
              <w:numPr>
                <w:ilvl w:val="0"/>
                <w:numId w:val="7"/>
              </w:numPr>
              <w:rPr>
                <w:rFonts w:ascii="Arial" w:eastAsia="Calibri" w:hAnsi="Arial" w:cs="Arial"/>
                <w:lang w:eastAsia="ja-JP"/>
              </w:rPr>
            </w:pPr>
            <w:r w:rsidRPr="47FD73D2">
              <w:rPr>
                <w:rFonts w:ascii="Arial" w:eastAsia="Calibri" w:hAnsi="Arial" w:cs="Arial"/>
                <w:lang w:eastAsia="ja-JP"/>
              </w:rPr>
              <w:t xml:space="preserve">Exposure </w:t>
            </w:r>
            <w:r w:rsidR="118642D0" w:rsidRPr="47FD73D2">
              <w:rPr>
                <w:rFonts w:ascii="Arial" w:eastAsia="Calibri" w:hAnsi="Arial" w:cs="Arial"/>
                <w:lang w:eastAsia="ja-JP"/>
              </w:rPr>
              <w:t>assessment</w:t>
            </w:r>
            <w:r w:rsidRPr="47FD73D2">
              <w:rPr>
                <w:rFonts w:ascii="Arial" w:eastAsia="Calibri" w:hAnsi="Arial" w:cs="Arial"/>
                <w:lang w:eastAsia="ja-JP"/>
              </w:rPr>
              <w:t xml:space="preserve"> methods and the utility of </w:t>
            </w:r>
            <w:r w:rsidR="44867902" w:rsidRPr="47FD73D2">
              <w:rPr>
                <w:rFonts w:ascii="Arial" w:eastAsia="Calibri" w:hAnsi="Arial" w:cs="Arial"/>
                <w:lang w:eastAsia="ja-JP"/>
              </w:rPr>
              <w:t>exposure data</w:t>
            </w:r>
          </w:p>
          <w:p w14:paraId="34537CBB" w14:textId="1E27C7FD" w:rsidR="00914891" w:rsidRPr="00026B71" w:rsidRDefault="44867902" w:rsidP="00914891">
            <w:pPr>
              <w:pStyle w:val="ListParagraph"/>
              <w:numPr>
                <w:ilvl w:val="0"/>
                <w:numId w:val="7"/>
              </w:numPr>
              <w:rPr>
                <w:rFonts w:ascii="Arial" w:eastAsia="Calibri" w:hAnsi="Arial" w:cs="Arial"/>
                <w:lang w:eastAsia="ja-JP"/>
              </w:rPr>
            </w:pPr>
            <w:r w:rsidRPr="47FD73D2">
              <w:rPr>
                <w:rFonts w:ascii="Arial" w:eastAsia="Calibri" w:hAnsi="Arial" w:cs="Arial"/>
                <w:lang w:eastAsia="ja-JP"/>
              </w:rPr>
              <w:t>Exposure controls for respirable crystalline sili</w:t>
            </w:r>
            <w:r w:rsidR="7425F5AB" w:rsidRPr="47FD73D2">
              <w:rPr>
                <w:rFonts w:ascii="Arial" w:eastAsia="Calibri" w:hAnsi="Arial" w:cs="Arial"/>
                <w:lang w:eastAsia="ja-JP"/>
              </w:rPr>
              <w:t>ca: engineering, administrative, and personal protective equipment</w:t>
            </w:r>
          </w:p>
        </w:tc>
        <w:tc>
          <w:tcPr>
            <w:tcW w:w="1871" w:type="dxa"/>
          </w:tcPr>
          <w:p w14:paraId="01E4EEC6" w14:textId="3B6C4A49" w:rsidR="00914891" w:rsidRDefault="00FB2556" w:rsidP="00914891">
            <w:pPr>
              <w:rPr>
                <w:rFonts w:ascii="Arial" w:eastAsia="Calibri" w:hAnsi="Arial" w:cs="Arial"/>
                <w:lang w:eastAsia="ja-JP"/>
              </w:rPr>
            </w:pPr>
            <w:r>
              <w:rPr>
                <w:rFonts w:ascii="Arial" w:eastAsia="Calibri" w:hAnsi="Arial" w:cs="Arial"/>
                <w:lang w:eastAsia="ja-JP"/>
              </w:rPr>
              <w:t>Kendra Broadwater</w:t>
            </w:r>
          </w:p>
        </w:tc>
        <w:tc>
          <w:tcPr>
            <w:tcW w:w="2069" w:type="dxa"/>
          </w:tcPr>
          <w:p w14:paraId="46A8D76E" w14:textId="24A25574" w:rsidR="00914891" w:rsidRDefault="003C629E" w:rsidP="00914891">
            <w:pPr>
              <w:jc w:val="right"/>
              <w:rPr>
                <w:rFonts w:ascii="Arial" w:eastAsia="Calibri" w:hAnsi="Arial" w:cs="Arial"/>
                <w:lang w:eastAsia="ja-JP"/>
              </w:rPr>
            </w:pPr>
            <w:r>
              <w:rPr>
                <w:rFonts w:ascii="Arial" w:eastAsia="Calibri" w:hAnsi="Arial" w:cs="Arial"/>
                <w:lang w:eastAsia="ja-JP"/>
              </w:rPr>
              <w:t xml:space="preserve">1:45 </w:t>
            </w:r>
            <w:r w:rsidR="0044024E">
              <w:rPr>
                <w:rFonts w:ascii="Arial" w:eastAsia="Calibri" w:hAnsi="Arial" w:cs="Arial"/>
                <w:lang w:eastAsia="ja-JP"/>
              </w:rPr>
              <w:t>–</w:t>
            </w:r>
            <w:r>
              <w:rPr>
                <w:rFonts w:ascii="Arial" w:eastAsia="Calibri" w:hAnsi="Arial" w:cs="Arial"/>
                <w:lang w:eastAsia="ja-JP"/>
              </w:rPr>
              <w:t xml:space="preserve"> </w:t>
            </w:r>
            <w:r w:rsidR="0044024E">
              <w:rPr>
                <w:rFonts w:ascii="Arial" w:eastAsia="Calibri" w:hAnsi="Arial" w:cs="Arial"/>
                <w:lang w:eastAsia="ja-JP"/>
              </w:rPr>
              <w:t>3:00 pm</w:t>
            </w:r>
          </w:p>
        </w:tc>
      </w:tr>
      <w:tr w:rsidR="003C629E" w:rsidRPr="001F071F" w14:paraId="2344ADEA" w14:textId="77777777" w:rsidTr="47FD73D2">
        <w:trPr>
          <w:trHeight w:val="300"/>
        </w:trPr>
        <w:tc>
          <w:tcPr>
            <w:tcW w:w="2245" w:type="dxa"/>
          </w:tcPr>
          <w:p w14:paraId="662DB9E4" w14:textId="65A35A19" w:rsidR="003C629E" w:rsidRDefault="00950DF5" w:rsidP="003C629E">
            <w:pPr>
              <w:rPr>
                <w:rFonts w:ascii="Arial" w:eastAsia="Calibri" w:hAnsi="Arial" w:cs="Arial"/>
                <w:b/>
                <w:lang w:eastAsia="ja-JP"/>
              </w:rPr>
            </w:pPr>
            <w:r>
              <w:rPr>
                <w:rFonts w:ascii="Arial" w:eastAsia="Calibri" w:hAnsi="Arial" w:cs="Arial"/>
                <w:b/>
                <w:lang w:eastAsia="ja-JP"/>
              </w:rPr>
              <w:t>Open discussion</w:t>
            </w:r>
          </w:p>
        </w:tc>
        <w:tc>
          <w:tcPr>
            <w:tcW w:w="4605" w:type="dxa"/>
          </w:tcPr>
          <w:p w14:paraId="03414C7A" w14:textId="08C983E7" w:rsidR="003C629E" w:rsidRPr="00461C1F" w:rsidRDefault="00060A63" w:rsidP="47FD73D2">
            <w:pPr>
              <w:rPr>
                <w:rFonts w:ascii="Arial" w:eastAsia="Calibri" w:hAnsi="Arial" w:cs="Arial"/>
                <w:lang w:eastAsia="ja-JP"/>
              </w:rPr>
            </w:pPr>
            <w:r w:rsidRPr="47FD73D2">
              <w:rPr>
                <w:rFonts w:ascii="Arial" w:eastAsia="Calibri" w:hAnsi="Arial" w:cs="Arial"/>
                <w:lang w:eastAsia="ja-JP"/>
              </w:rPr>
              <w:t xml:space="preserve"> </w:t>
            </w:r>
          </w:p>
        </w:tc>
        <w:tc>
          <w:tcPr>
            <w:tcW w:w="1871" w:type="dxa"/>
          </w:tcPr>
          <w:p w14:paraId="7B1FA654" w14:textId="3E700688" w:rsidR="003C629E" w:rsidRDefault="00950DF5" w:rsidP="003C629E">
            <w:pPr>
              <w:rPr>
                <w:rFonts w:ascii="Arial" w:eastAsia="Calibri" w:hAnsi="Arial" w:cs="Arial"/>
                <w:lang w:eastAsia="ja-JP"/>
              </w:rPr>
            </w:pPr>
            <w:r>
              <w:rPr>
                <w:rFonts w:ascii="Arial" w:eastAsia="Calibri" w:hAnsi="Arial" w:cs="Arial"/>
                <w:lang w:eastAsia="ja-JP"/>
              </w:rPr>
              <w:t>All</w:t>
            </w:r>
          </w:p>
        </w:tc>
        <w:tc>
          <w:tcPr>
            <w:tcW w:w="2069" w:type="dxa"/>
          </w:tcPr>
          <w:p w14:paraId="083CE5B3" w14:textId="66141E31" w:rsidR="003C629E" w:rsidRDefault="0044024E" w:rsidP="003C629E">
            <w:pPr>
              <w:jc w:val="right"/>
              <w:rPr>
                <w:rFonts w:ascii="Arial" w:eastAsia="Calibri" w:hAnsi="Arial" w:cs="Arial"/>
                <w:lang w:eastAsia="ja-JP"/>
              </w:rPr>
            </w:pPr>
            <w:r>
              <w:rPr>
                <w:rFonts w:ascii="Arial" w:eastAsia="Calibri" w:hAnsi="Arial" w:cs="Arial"/>
                <w:lang w:eastAsia="ja-JP"/>
              </w:rPr>
              <w:t>3:00 – 4:00 pm</w:t>
            </w:r>
          </w:p>
        </w:tc>
      </w:tr>
      <w:tr w:rsidR="003C629E" w:rsidRPr="001F071F" w14:paraId="7EBC4848" w14:textId="77777777" w:rsidTr="47FD73D2">
        <w:trPr>
          <w:trHeight w:val="300"/>
        </w:trPr>
        <w:tc>
          <w:tcPr>
            <w:tcW w:w="2245" w:type="dxa"/>
            <w:shd w:val="clear" w:color="auto" w:fill="404040" w:themeFill="text1" w:themeFillTint="BF"/>
          </w:tcPr>
          <w:p w14:paraId="18FC172E" w14:textId="77777777" w:rsidR="003C629E" w:rsidRPr="0044024E" w:rsidRDefault="003C629E" w:rsidP="003C629E">
            <w:pPr>
              <w:rPr>
                <w:rFonts w:ascii="Arial" w:eastAsia="Calibri" w:hAnsi="Arial" w:cs="Arial"/>
                <w:b/>
                <w:bCs/>
                <w:color w:val="FFFFFF" w:themeColor="background1"/>
                <w:lang w:eastAsia="ja-JP"/>
              </w:rPr>
            </w:pPr>
            <w:r w:rsidRPr="0044024E">
              <w:rPr>
                <w:rFonts w:ascii="Arial" w:eastAsia="Calibri" w:hAnsi="Arial" w:cs="Arial"/>
                <w:b/>
                <w:bCs/>
                <w:color w:val="FFFFFF" w:themeColor="background1"/>
                <w:lang w:eastAsia="ja-JP"/>
              </w:rPr>
              <w:t>Wrap-up</w:t>
            </w:r>
          </w:p>
        </w:tc>
        <w:tc>
          <w:tcPr>
            <w:tcW w:w="4605" w:type="dxa"/>
            <w:shd w:val="clear" w:color="auto" w:fill="404040" w:themeFill="text1" w:themeFillTint="BF"/>
          </w:tcPr>
          <w:p w14:paraId="1A11FF07" w14:textId="77777777" w:rsidR="003C629E" w:rsidRPr="001F071F" w:rsidRDefault="003C629E" w:rsidP="003C629E">
            <w:pPr>
              <w:rPr>
                <w:rFonts w:ascii="Arial" w:eastAsia="Calibri" w:hAnsi="Arial" w:cs="Arial"/>
                <w:color w:val="FFFFFF" w:themeColor="background1"/>
                <w:lang w:eastAsia="ja-JP"/>
              </w:rPr>
            </w:pPr>
          </w:p>
        </w:tc>
        <w:tc>
          <w:tcPr>
            <w:tcW w:w="3940" w:type="dxa"/>
            <w:gridSpan w:val="2"/>
            <w:shd w:val="clear" w:color="auto" w:fill="404040" w:themeFill="text1" w:themeFillTint="BF"/>
          </w:tcPr>
          <w:p w14:paraId="3F7175AD" w14:textId="2CD721AF" w:rsidR="003C629E" w:rsidRPr="001F071F" w:rsidRDefault="003C629E" w:rsidP="003C629E">
            <w:pPr>
              <w:jc w:val="right"/>
              <w:rPr>
                <w:rFonts w:ascii="Arial" w:eastAsia="Calibri" w:hAnsi="Arial" w:cs="Arial"/>
                <w:color w:val="FFFFFF" w:themeColor="background1"/>
                <w:lang w:eastAsia="ja-JP"/>
              </w:rPr>
            </w:pPr>
            <w:r>
              <w:rPr>
                <w:rFonts w:ascii="Arial" w:eastAsia="Calibri" w:hAnsi="Arial" w:cs="Arial"/>
                <w:b/>
                <w:color w:val="FFFFFF" w:themeColor="background1"/>
                <w:lang w:eastAsia="ja-JP"/>
              </w:rPr>
              <w:t>4:00 pm</w:t>
            </w:r>
          </w:p>
        </w:tc>
      </w:tr>
    </w:tbl>
    <w:p w14:paraId="182DFB94" w14:textId="77777777" w:rsidR="005F78E2" w:rsidRDefault="005F78E2" w:rsidP="00DB2ACA">
      <w:pPr>
        <w:rPr>
          <w:rFonts w:ascii="Arial" w:eastAsia="Calibri" w:hAnsi="Arial" w:cs="Arial"/>
          <w:b/>
          <w:sz w:val="20"/>
          <w:szCs w:val="20"/>
          <w:lang w:eastAsia="ja-JP"/>
        </w:rPr>
      </w:pPr>
    </w:p>
    <w:p w14:paraId="37191556" w14:textId="67F24D07" w:rsidR="008E2E4B" w:rsidRDefault="001F071F" w:rsidP="00DB2ACA">
      <w:pPr>
        <w:rPr>
          <w:rFonts w:ascii="Arial" w:eastAsia="Calibri" w:hAnsi="Arial" w:cs="Arial"/>
          <w:b/>
          <w:sz w:val="20"/>
          <w:szCs w:val="20"/>
          <w:lang w:eastAsia="ja-JP"/>
        </w:rPr>
      </w:pPr>
      <w:r w:rsidRPr="002F566F">
        <w:rPr>
          <w:rFonts w:ascii="Arial" w:eastAsia="Calibri" w:hAnsi="Arial" w:cs="Arial"/>
          <w:b/>
          <w:sz w:val="20"/>
          <w:szCs w:val="20"/>
          <w:lang w:eastAsia="ja-JP"/>
        </w:rPr>
        <w:t>Presenter Bios</w:t>
      </w:r>
    </w:p>
    <w:p w14:paraId="652F0FA6" w14:textId="36E3408F" w:rsidR="0056132E" w:rsidRPr="0056132E" w:rsidRDefault="0056132E" w:rsidP="00386B1D">
      <w:pPr>
        <w:rPr>
          <w:lang w:eastAsia="ja-JP"/>
        </w:rPr>
      </w:pPr>
      <w:r w:rsidRPr="47FD73D2">
        <w:rPr>
          <w:b/>
          <w:bCs/>
          <w:lang w:eastAsia="ja-JP"/>
        </w:rPr>
        <w:lastRenderedPageBreak/>
        <w:t>Kendra Broadwater</w:t>
      </w:r>
      <w:r w:rsidR="656AAF83" w:rsidRPr="47FD73D2">
        <w:rPr>
          <w:b/>
          <w:bCs/>
          <w:lang w:eastAsia="ja-JP"/>
        </w:rPr>
        <w:t xml:space="preserve">, M.P.H., C.I.H. </w:t>
      </w:r>
      <w:r w:rsidR="656AAF83" w:rsidRPr="00B52A5A">
        <w:rPr>
          <w:lang w:eastAsia="ja-JP"/>
        </w:rPr>
        <w:t xml:space="preserve">Kendra is a </w:t>
      </w:r>
      <w:proofErr w:type="spellStart"/>
      <w:r w:rsidR="656AAF83" w:rsidRPr="00B52A5A">
        <w:rPr>
          <w:lang w:eastAsia="ja-JP"/>
        </w:rPr>
        <w:t>Reseach</w:t>
      </w:r>
      <w:proofErr w:type="spellEnd"/>
      <w:r w:rsidR="656AAF83" w:rsidRPr="00B52A5A">
        <w:rPr>
          <w:lang w:eastAsia="ja-JP"/>
        </w:rPr>
        <w:t xml:space="preserve"> Industrial Hygienist with the National Institute for Occupational Safety and Health (NIOSH) Spokane Mining Research Division (SMRD)</w:t>
      </w:r>
      <w:r w:rsidR="51061CC2" w:rsidRPr="47FD73D2">
        <w:rPr>
          <w:lang w:eastAsia="ja-JP"/>
        </w:rPr>
        <w:t xml:space="preserve">. </w:t>
      </w:r>
      <w:r w:rsidR="4C7AC73A" w:rsidRPr="47FD73D2">
        <w:rPr>
          <w:lang w:eastAsia="ja-JP"/>
        </w:rPr>
        <w:t>She has performed workplace exposure assessments in workplaces across the United States</w:t>
      </w:r>
      <w:r w:rsidR="52D32484" w:rsidRPr="47FD73D2">
        <w:rPr>
          <w:lang w:eastAsia="ja-JP"/>
        </w:rPr>
        <w:t xml:space="preserve"> for NIOSH since 2013. Before recently joining the </w:t>
      </w:r>
      <w:r w:rsidR="00B441C9">
        <w:rPr>
          <w:lang w:eastAsia="ja-JP"/>
        </w:rPr>
        <w:t xml:space="preserve">NIOSH </w:t>
      </w:r>
      <w:r w:rsidR="6E9878D3" w:rsidRPr="47FD73D2">
        <w:rPr>
          <w:lang w:eastAsia="ja-JP"/>
        </w:rPr>
        <w:t>M</w:t>
      </w:r>
      <w:r w:rsidR="52D32484" w:rsidRPr="47FD73D2">
        <w:rPr>
          <w:lang w:eastAsia="ja-JP"/>
        </w:rPr>
        <w:t>ining program</w:t>
      </w:r>
      <w:r w:rsidR="7F4CAACD" w:rsidRPr="47FD73D2">
        <w:rPr>
          <w:lang w:eastAsia="ja-JP"/>
        </w:rPr>
        <w:t xml:space="preserve"> and turning her focus to silica and noise exposure, she developed expertise in evaluation of exposures in nail salons</w:t>
      </w:r>
      <w:r w:rsidR="5E9F1D66" w:rsidRPr="47FD73D2">
        <w:rPr>
          <w:lang w:eastAsia="ja-JP"/>
        </w:rPr>
        <w:t xml:space="preserve"> and</w:t>
      </w:r>
      <w:r w:rsidR="7F4CAACD" w:rsidRPr="47FD73D2">
        <w:rPr>
          <w:lang w:eastAsia="ja-JP"/>
        </w:rPr>
        <w:t xml:space="preserve"> forensic chemistry laboratories</w:t>
      </w:r>
      <w:r w:rsidR="4528A7C3" w:rsidRPr="47FD73D2">
        <w:rPr>
          <w:lang w:eastAsia="ja-JP"/>
        </w:rPr>
        <w:t xml:space="preserve"> and surface sampling methodology and survey development. She is interested in learning more about exposure assessment strategies used in mining</w:t>
      </w:r>
      <w:r w:rsidR="6E1446B1" w:rsidRPr="47FD73D2">
        <w:rPr>
          <w:lang w:eastAsia="ja-JP"/>
        </w:rPr>
        <w:t xml:space="preserve"> (for silica and noise in particular)</w:t>
      </w:r>
      <w:r w:rsidR="4528A7C3" w:rsidRPr="47FD73D2">
        <w:rPr>
          <w:lang w:eastAsia="ja-JP"/>
        </w:rPr>
        <w:t xml:space="preserve"> and barriers to </w:t>
      </w:r>
      <w:r w:rsidR="0EC1D419" w:rsidRPr="47FD73D2">
        <w:rPr>
          <w:lang w:eastAsia="ja-JP"/>
        </w:rPr>
        <w:t xml:space="preserve">adoption of </w:t>
      </w:r>
      <w:r w:rsidR="0F46063B" w:rsidRPr="47FD73D2">
        <w:rPr>
          <w:lang w:eastAsia="ja-JP"/>
        </w:rPr>
        <w:t>Bayesian</w:t>
      </w:r>
      <w:r w:rsidR="4F637E0C" w:rsidRPr="47FD73D2">
        <w:rPr>
          <w:lang w:eastAsia="ja-JP"/>
        </w:rPr>
        <w:t xml:space="preserve"> </w:t>
      </w:r>
      <w:r w:rsidR="0D42BF57" w:rsidRPr="47FD73D2">
        <w:rPr>
          <w:lang w:eastAsia="ja-JP"/>
        </w:rPr>
        <w:t>decision making</w:t>
      </w:r>
      <w:r w:rsidR="4F637E0C" w:rsidRPr="47FD73D2">
        <w:rPr>
          <w:lang w:eastAsia="ja-JP"/>
        </w:rPr>
        <w:t xml:space="preserve"> in </w:t>
      </w:r>
      <w:r w:rsidR="0EC1D419" w:rsidRPr="47FD73D2">
        <w:rPr>
          <w:lang w:eastAsia="ja-JP"/>
        </w:rPr>
        <w:t>exposure assessment programs</w:t>
      </w:r>
      <w:r w:rsidR="4FC5A04E" w:rsidRPr="47FD73D2">
        <w:rPr>
          <w:lang w:eastAsia="ja-JP"/>
        </w:rPr>
        <w:t xml:space="preserve">. </w:t>
      </w:r>
    </w:p>
    <w:p w14:paraId="434E0033" w14:textId="052356D6" w:rsidR="004A4B9D" w:rsidRPr="004A4B9D" w:rsidRDefault="00093348" w:rsidP="00386B1D">
      <w:r w:rsidRPr="00EE41A3">
        <w:rPr>
          <w:b/>
          <w:bCs/>
        </w:rPr>
        <w:t>Brianna Eiter</w:t>
      </w:r>
      <w:r w:rsidRPr="00EE41A3">
        <w:rPr>
          <w:bCs/>
        </w:rPr>
        <w:t xml:space="preserve">, </w:t>
      </w:r>
      <w:r w:rsidRPr="00EE41A3">
        <w:rPr>
          <w:b/>
          <w:bCs/>
        </w:rPr>
        <w:t>Ph.D.</w:t>
      </w:r>
      <w:r w:rsidRPr="00EE41A3">
        <w:rPr>
          <w:bCs/>
        </w:rPr>
        <w:t xml:space="preserve">  </w:t>
      </w:r>
      <w:r w:rsidR="00386B1D">
        <w:rPr>
          <w:bCs/>
        </w:rPr>
        <w:t>Brianna</w:t>
      </w:r>
      <w:r w:rsidRPr="00EE41A3">
        <w:rPr>
          <w:i/>
          <w:iCs/>
        </w:rPr>
        <w:t xml:space="preserve"> </w:t>
      </w:r>
      <w:r w:rsidR="00176B7A">
        <w:t xml:space="preserve">is a </w:t>
      </w:r>
      <w:r w:rsidR="004A4B9D" w:rsidRPr="004A4B9D">
        <w:t xml:space="preserve">Cognitive Psychologist with the National Institute for Occupational Safety and Health (NIOSH) Spokane Mining Research Division (SMRD). In the </w:t>
      </w:r>
      <w:r w:rsidR="00153F56">
        <w:t>eleven</w:t>
      </w:r>
      <w:r w:rsidR="004A4B9D" w:rsidRPr="004A4B9D">
        <w:t xml:space="preserve"> years that Brianna has worked at NIOSH, she has been involved in research projects focusing on hazard recognition and risk perception, informational needs of the underground coal miner, and fatigue risk management for small surface mines. </w:t>
      </w:r>
      <w:r w:rsidR="004A4B9D" w:rsidRPr="004A4B9D">
        <w:rPr>
          <w:bCs/>
        </w:rPr>
        <w:t xml:space="preserve">Her recent work has involved creating VR work environments and developing training tools to address hazard recognition and risk assessment abilities. </w:t>
      </w:r>
      <w:r w:rsidR="004A4B9D" w:rsidRPr="004A4B9D">
        <w:t xml:space="preserve">Brianna has 20 years of experience in her research area of expertise which is human cognition and the use of eye-tracking to measure human behavior. Brianna graduated with a </w:t>
      </w:r>
      <w:proofErr w:type="gramStart"/>
      <w:r w:rsidR="004A4B9D" w:rsidRPr="004A4B9D">
        <w:t>Bachelor’s</w:t>
      </w:r>
      <w:proofErr w:type="gramEnd"/>
      <w:r w:rsidR="004A4B9D" w:rsidRPr="004A4B9D">
        <w:t xml:space="preserve"> degree from Lehigh University and then went to Binghamton University where she earned both her Master’s and Doctoral degrees in Cognitive Psychology.</w:t>
      </w:r>
    </w:p>
    <w:p w14:paraId="6989F43D" w14:textId="44EC8657" w:rsidR="009D24BB" w:rsidRDefault="0056132E" w:rsidP="00386B1D">
      <w:r w:rsidRPr="47FD73D2">
        <w:rPr>
          <w:b/>
          <w:bCs/>
        </w:rPr>
        <w:t>Launa Mallett, Ph.D.</w:t>
      </w:r>
      <w:r w:rsidR="00B52A5A">
        <w:rPr>
          <w:b/>
          <w:bCs/>
        </w:rPr>
        <w:t xml:space="preserve"> </w:t>
      </w:r>
      <w:r w:rsidR="009D24BB" w:rsidRPr="47FD73D2">
        <w:rPr>
          <w:rStyle w:val="normaltextrun"/>
          <w:color w:val="000000" w:themeColor="text1"/>
        </w:rPr>
        <w:t>Launa is a social scientist at NIOSH’s Pittsburgh Mining Research Division where she is the Escape, Rescue, and Training Team Leader. She holds a master’s degree in Anthropology</w:t>
      </w:r>
      <w:r w:rsidR="009D24BB" w:rsidRPr="47FD73D2">
        <w:t xml:space="preserve"> and a Ph.D. in S</w:t>
      </w:r>
      <w:r w:rsidR="009D24BB" w:rsidRPr="47FD73D2">
        <w:rPr>
          <w:rStyle w:val="normaltextrun"/>
          <w:color w:val="000000" w:themeColor="text1"/>
        </w:rPr>
        <w:t xml:space="preserve">ociology from the University of Kentucky. Launa works to improve the knowledge and skills of miners, and those who support them, by enhancing safety and health training strategies. </w:t>
      </w:r>
      <w:r w:rsidR="009D24BB">
        <w:t xml:space="preserve">She has developed and evaluated training on a wide range of topics including heat-related illness, hazardous materials handling, use of personal protective equipment, and coaching skills for on-the-job trainers. She has trained miners at their worksites, trainers during professional development sessions, and international industry leaders, through translators, at live and virtual meetings. Launa’s team is currently working on reducing risk to inexperienced miners, exploring the status of mine rescue training, and improving communication during mine emergency response. </w:t>
      </w:r>
    </w:p>
    <w:p w14:paraId="0E3932C7" w14:textId="7028BB45" w:rsidR="00971C8B" w:rsidRDefault="00971C8B" w:rsidP="00386B1D">
      <w:r w:rsidRPr="47FD73D2">
        <w:rPr>
          <w:b/>
          <w:bCs/>
        </w:rPr>
        <w:t>Mahiyar Nasarwanji</w:t>
      </w:r>
      <w:r w:rsidRPr="47FD73D2">
        <w:t xml:space="preserve">, </w:t>
      </w:r>
      <w:r w:rsidRPr="47FD73D2">
        <w:rPr>
          <w:b/>
          <w:bCs/>
        </w:rPr>
        <w:t>Ph.D.</w:t>
      </w:r>
      <w:r w:rsidRPr="47FD73D2">
        <w:t xml:space="preserve">  Mahiyar</w:t>
      </w:r>
      <w:r w:rsidRPr="47FD73D2">
        <w:rPr>
          <w:i/>
          <w:iCs/>
        </w:rPr>
        <w:t xml:space="preserve"> </w:t>
      </w:r>
      <w:r w:rsidRPr="47FD73D2">
        <w:t>is a Senior Service Fellow in the Workplace Health Team at the National Institute for Occupational Safety and Health (NIOSH) Pittsburgh Mining Research Division (PMRD). Mahiyar has over 1</w:t>
      </w:r>
      <w:r w:rsidR="00514A05" w:rsidRPr="47FD73D2">
        <w:t>5</w:t>
      </w:r>
      <w:r w:rsidRPr="47FD73D2">
        <w:t xml:space="preserve"> years of experience in human factors and ergonomics research</w:t>
      </w:r>
      <w:r w:rsidR="005F643A" w:rsidRPr="47FD73D2">
        <w:t xml:space="preserve"> and focusses on improving the work environment to make it safe and usable by all. </w:t>
      </w:r>
      <w:proofErr w:type="spellStart"/>
      <w:r w:rsidRPr="47FD73D2">
        <w:t>Mahiyar’s</w:t>
      </w:r>
      <w:proofErr w:type="spellEnd"/>
      <w:r w:rsidRPr="47FD73D2">
        <w:t xml:space="preserve"> </w:t>
      </w:r>
      <w:r w:rsidR="00C2043B" w:rsidRPr="47FD73D2">
        <w:t xml:space="preserve">current </w:t>
      </w:r>
      <w:r w:rsidRPr="47FD73D2">
        <w:t>research focuse</w:t>
      </w:r>
      <w:r w:rsidR="00E53F89" w:rsidRPr="47FD73D2">
        <w:t>s</w:t>
      </w:r>
      <w:r w:rsidRPr="47FD73D2">
        <w:t xml:space="preserve"> on the prevention of musculoskeletal disorders</w:t>
      </w:r>
      <w:r w:rsidR="00C2043B" w:rsidRPr="47FD73D2">
        <w:t xml:space="preserve"> and emerging technologies like exoskeletons</w:t>
      </w:r>
      <w:r w:rsidR="002A08CD" w:rsidRPr="47FD73D2">
        <w:t>. Previously</w:t>
      </w:r>
      <w:r w:rsidR="00E53F89" w:rsidRPr="47FD73D2">
        <w:t>,</w:t>
      </w:r>
      <w:r w:rsidR="002A08CD" w:rsidRPr="47FD73D2">
        <w:t xml:space="preserve"> Mahiyar</w:t>
      </w:r>
      <w:r w:rsidR="006738BA" w:rsidRPr="47FD73D2">
        <w:t xml:space="preserve"> </w:t>
      </w:r>
      <w:r w:rsidR="00FB1187" w:rsidRPr="47FD73D2">
        <w:t>conducted research to prevent</w:t>
      </w:r>
      <w:r w:rsidRPr="47FD73D2">
        <w:t xml:space="preserve"> slip</w:t>
      </w:r>
      <w:r w:rsidR="005F643A" w:rsidRPr="47FD73D2">
        <w:t>s</w:t>
      </w:r>
      <w:r w:rsidRPr="47FD73D2">
        <w:t>, trip</w:t>
      </w:r>
      <w:r w:rsidR="005F643A" w:rsidRPr="47FD73D2">
        <w:t>s</w:t>
      </w:r>
      <w:r w:rsidRPr="47FD73D2">
        <w:t>, and fall</w:t>
      </w:r>
      <w:r w:rsidR="005F643A" w:rsidRPr="47FD73D2">
        <w:t>s</w:t>
      </w:r>
      <w:r w:rsidRPr="47FD73D2">
        <w:t xml:space="preserve"> in mining</w:t>
      </w:r>
      <w:r w:rsidR="002A67AB" w:rsidRPr="47FD73D2">
        <w:t xml:space="preserve">, </w:t>
      </w:r>
      <w:r w:rsidR="00E53F89" w:rsidRPr="47FD73D2">
        <w:t xml:space="preserve">improve </w:t>
      </w:r>
      <w:proofErr w:type="spellStart"/>
      <w:r w:rsidR="00E53F89" w:rsidRPr="47FD73D2">
        <w:t>ErgoMine</w:t>
      </w:r>
      <w:proofErr w:type="spellEnd"/>
      <w:r w:rsidR="00310F9B" w:rsidRPr="47FD73D2">
        <w:t>–</w:t>
      </w:r>
      <w:r w:rsidR="00E53F89" w:rsidRPr="47FD73D2">
        <w:t xml:space="preserve">an </w:t>
      </w:r>
      <w:r w:rsidR="00BA783B" w:rsidRPr="47FD73D2">
        <w:t>ergonomics audit</w:t>
      </w:r>
      <w:r w:rsidR="007E7A33" w:rsidRPr="47FD73D2">
        <w:t xml:space="preserve"> </w:t>
      </w:r>
      <w:r w:rsidR="00E53F89" w:rsidRPr="47FD73D2">
        <w:t xml:space="preserve">tool </w:t>
      </w:r>
      <w:r w:rsidR="007E7A33" w:rsidRPr="47FD73D2">
        <w:t>for mining</w:t>
      </w:r>
      <w:r w:rsidR="002A67AB" w:rsidRPr="47FD73D2">
        <w:t xml:space="preserve">, and investigated </w:t>
      </w:r>
      <w:r w:rsidR="00310F9B" w:rsidRPr="47FD73D2">
        <w:t xml:space="preserve">automated systems at mines from a human </w:t>
      </w:r>
      <w:r w:rsidR="00A71B20" w:rsidRPr="47FD73D2">
        <w:t>factors</w:t>
      </w:r>
      <w:r w:rsidR="00310F9B" w:rsidRPr="47FD73D2">
        <w:t xml:space="preserve"> and user centered perspective</w:t>
      </w:r>
      <w:r w:rsidRPr="47FD73D2">
        <w:t xml:space="preserve">. Mahiyar </w:t>
      </w:r>
      <w:r w:rsidR="005F643A" w:rsidRPr="47FD73D2">
        <w:t>graduated with a</w:t>
      </w:r>
      <w:r w:rsidRPr="47FD73D2">
        <w:t xml:space="preserve"> Bachelor of Engineering </w:t>
      </w:r>
      <w:r w:rsidR="005F643A" w:rsidRPr="47FD73D2">
        <w:t xml:space="preserve">degree </w:t>
      </w:r>
      <w:r w:rsidRPr="47FD73D2">
        <w:t xml:space="preserve">in mechanical engineering </w:t>
      </w:r>
      <w:r w:rsidR="005F643A" w:rsidRPr="47FD73D2">
        <w:t xml:space="preserve">from the University of Mumbai </w:t>
      </w:r>
      <w:r w:rsidRPr="47FD73D2">
        <w:t>and</w:t>
      </w:r>
      <w:r w:rsidR="005F643A" w:rsidRPr="47FD73D2">
        <w:t xml:space="preserve"> then went to the University of Buffalo where he earned both his </w:t>
      </w:r>
      <w:proofErr w:type="gramStart"/>
      <w:r w:rsidR="005F643A" w:rsidRPr="47FD73D2">
        <w:t>Master’s</w:t>
      </w:r>
      <w:proofErr w:type="gramEnd"/>
      <w:r w:rsidR="005F643A" w:rsidRPr="47FD73D2">
        <w:t xml:space="preserve"> and Doctoral degrees in </w:t>
      </w:r>
      <w:r w:rsidRPr="47FD73D2">
        <w:t>Industrial and Systems Engineering.</w:t>
      </w:r>
    </w:p>
    <w:sectPr w:rsidR="00971C8B" w:rsidSect="00843F4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CB640" w14:textId="77777777" w:rsidR="00A7436B" w:rsidRDefault="00A7436B" w:rsidP="008B5D54">
      <w:pPr>
        <w:spacing w:after="0" w:line="240" w:lineRule="auto"/>
      </w:pPr>
      <w:r>
        <w:separator/>
      </w:r>
    </w:p>
  </w:endnote>
  <w:endnote w:type="continuationSeparator" w:id="0">
    <w:p w14:paraId="0153D8B4" w14:textId="77777777" w:rsidR="00A7436B" w:rsidRDefault="00A7436B" w:rsidP="008B5D54">
      <w:pPr>
        <w:spacing w:after="0" w:line="240" w:lineRule="auto"/>
      </w:pPr>
      <w:r>
        <w:continuationSeparator/>
      </w:r>
    </w:p>
  </w:endnote>
  <w:endnote w:type="continuationNotice" w:id="1">
    <w:p w14:paraId="75946882" w14:textId="77777777" w:rsidR="00A7436B" w:rsidRDefault="00A743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2C8F1" w14:textId="77777777" w:rsidR="00A7436B" w:rsidRDefault="00A7436B" w:rsidP="008B5D54">
      <w:pPr>
        <w:spacing w:after="0" w:line="240" w:lineRule="auto"/>
      </w:pPr>
      <w:r>
        <w:separator/>
      </w:r>
    </w:p>
  </w:footnote>
  <w:footnote w:type="continuationSeparator" w:id="0">
    <w:p w14:paraId="6B946992" w14:textId="77777777" w:rsidR="00A7436B" w:rsidRDefault="00A7436B" w:rsidP="008B5D54">
      <w:pPr>
        <w:spacing w:after="0" w:line="240" w:lineRule="auto"/>
      </w:pPr>
      <w:r>
        <w:continuationSeparator/>
      </w:r>
    </w:p>
  </w:footnote>
  <w:footnote w:type="continuationNotice" w:id="1">
    <w:p w14:paraId="00BDF21B" w14:textId="77777777" w:rsidR="00A7436B" w:rsidRDefault="00A7436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825"/>
    <w:multiLevelType w:val="hybridMultilevel"/>
    <w:tmpl w:val="01660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70505E"/>
    <w:multiLevelType w:val="hybridMultilevel"/>
    <w:tmpl w:val="BE44D00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3E75B6"/>
    <w:multiLevelType w:val="hybridMultilevel"/>
    <w:tmpl w:val="4E86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21BB7"/>
    <w:multiLevelType w:val="hybridMultilevel"/>
    <w:tmpl w:val="D5D63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128E7"/>
    <w:multiLevelType w:val="hybridMultilevel"/>
    <w:tmpl w:val="DF44C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8C6BCF"/>
    <w:multiLevelType w:val="hybridMultilevel"/>
    <w:tmpl w:val="6E14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FB1F9C"/>
    <w:multiLevelType w:val="hybridMultilevel"/>
    <w:tmpl w:val="A29CA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453BC2"/>
    <w:multiLevelType w:val="hybridMultilevel"/>
    <w:tmpl w:val="94CC0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76804E1"/>
    <w:multiLevelType w:val="hybridMultilevel"/>
    <w:tmpl w:val="B7002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5D7FF9"/>
    <w:multiLevelType w:val="hybridMultilevel"/>
    <w:tmpl w:val="AFBA1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F01CBD"/>
    <w:multiLevelType w:val="hybridMultilevel"/>
    <w:tmpl w:val="65387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71114C9"/>
    <w:multiLevelType w:val="hybridMultilevel"/>
    <w:tmpl w:val="51F81634"/>
    <w:lvl w:ilvl="0" w:tplc="506E15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780E5B"/>
    <w:multiLevelType w:val="hybridMultilevel"/>
    <w:tmpl w:val="D902C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55775594">
    <w:abstractNumId w:val="11"/>
  </w:num>
  <w:num w:numId="2" w16cid:durableId="462845173">
    <w:abstractNumId w:val="2"/>
  </w:num>
  <w:num w:numId="3" w16cid:durableId="812218468">
    <w:abstractNumId w:val="1"/>
  </w:num>
  <w:num w:numId="4" w16cid:durableId="400642029">
    <w:abstractNumId w:val="3"/>
  </w:num>
  <w:num w:numId="5" w16cid:durableId="1642807917">
    <w:abstractNumId w:val="8"/>
  </w:num>
  <w:num w:numId="6" w16cid:durableId="982193472">
    <w:abstractNumId w:val="4"/>
  </w:num>
  <w:num w:numId="7" w16cid:durableId="1768578741">
    <w:abstractNumId w:val="9"/>
  </w:num>
  <w:num w:numId="8" w16cid:durableId="1288970811">
    <w:abstractNumId w:val="5"/>
  </w:num>
  <w:num w:numId="9" w16cid:durableId="947782084">
    <w:abstractNumId w:val="7"/>
  </w:num>
  <w:num w:numId="10" w16cid:durableId="1472357973">
    <w:abstractNumId w:val="6"/>
  </w:num>
  <w:num w:numId="11" w16cid:durableId="1167596434">
    <w:abstractNumId w:val="12"/>
  </w:num>
  <w:num w:numId="12" w16cid:durableId="2097356803">
    <w:abstractNumId w:val="10"/>
  </w:num>
  <w:num w:numId="13" w16cid:durableId="603071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1F8"/>
    <w:rsid w:val="00017071"/>
    <w:rsid w:val="000225E7"/>
    <w:rsid w:val="00026B71"/>
    <w:rsid w:val="00060A63"/>
    <w:rsid w:val="00061F7B"/>
    <w:rsid w:val="00093348"/>
    <w:rsid w:val="000A7890"/>
    <w:rsid w:val="000B01F8"/>
    <w:rsid w:val="00105F61"/>
    <w:rsid w:val="00153F56"/>
    <w:rsid w:val="00173040"/>
    <w:rsid w:val="00174D11"/>
    <w:rsid w:val="00175219"/>
    <w:rsid w:val="00176B7A"/>
    <w:rsid w:val="001A2F0E"/>
    <w:rsid w:val="001A4787"/>
    <w:rsid w:val="001A6FB9"/>
    <w:rsid w:val="001B041C"/>
    <w:rsid w:val="001B06A1"/>
    <w:rsid w:val="001C1994"/>
    <w:rsid w:val="001C74C2"/>
    <w:rsid w:val="001E0774"/>
    <w:rsid w:val="001E0E24"/>
    <w:rsid w:val="001E2898"/>
    <w:rsid w:val="001F071F"/>
    <w:rsid w:val="001F426F"/>
    <w:rsid w:val="00205948"/>
    <w:rsid w:val="00205B56"/>
    <w:rsid w:val="00211D07"/>
    <w:rsid w:val="00224B78"/>
    <w:rsid w:val="00240489"/>
    <w:rsid w:val="002415A1"/>
    <w:rsid w:val="00242BD0"/>
    <w:rsid w:val="00275C91"/>
    <w:rsid w:val="00282002"/>
    <w:rsid w:val="00284BB8"/>
    <w:rsid w:val="00291764"/>
    <w:rsid w:val="002A08CD"/>
    <w:rsid w:val="002A1076"/>
    <w:rsid w:val="002A19D1"/>
    <w:rsid w:val="002A67AB"/>
    <w:rsid w:val="002B7232"/>
    <w:rsid w:val="002F0651"/>
    <w:rsid w:val="002F566F"/>
    <w:rsid w:val="00300392"/>
    <w:rsid w:val="00310F9B"/>
    <w:rsid w:val="00311E99"/>
    <w:rsid w:val="00312EB7"/>
    <w:rsid w:val="00337849"/>
    <w:rsid w:val="00341F80"/>
    <w:rsid w:val="00384B90"/>
    <w:rsid w:val="00386B1D"/>
    <w:rsid w:val="003C5DB8"/>
    <w:rsid w:val="003C629E"/>
    <w:rsid w:val="003D5296"/>
    <w:rsid w:val="003E23A2"/>
    <w:rsid w:val="003E386D"/>
    <w:rsid w:val="003E67EB"/>
    <w:rsid w:val="003F44BA"/>
    <w:rsid w:val="00401F08"/>
    <w:rsid w:val="0044024E"/>
    <w:rsid w:val="00461C1F"/>
    <w:rsid w:val="00462781"/>
    <w:rsid w:val="00465341"/>
    <w:rsid w:val="00487281"/>
    <w:rsid w:val="004A4B9D"/>
    <w:rsid w:val="004A787A"/>
    <w:rsid w:val="004B1A00"/>
    <w:rsid w:val="004C748D"/>
    <w:rsid w:val="004D3B70"/>
    <w:rsid w:val="004F3A07"/>
    <w:rsid w:val="00514A05"/>
    <w:rsid w:val="00521B0D"/>
    <w:rsid w:val="0056132E"/>
    <w:rsid w:val="005739E6"/>
    <w:rsid w:val="005C2889"/>
    <w:rsid w:val="005D153B"/>
    <w:rsid w:val="005E0704"/>
    <w:rsid w:val="005E189F"/>
    <w:rsid w:val="005E220F"/>
    <w:rsid w:val="005F643A"/>
    <w:rsid w:val="005F78E2"/>
    <w:rsid w:val="0062000F"/>
    <w:rsid w:val="00632564"/>
    <w:rsid w:val="006735F7"/>
    <w:rsid w:val="006738BA"/>
    <w:rsid w:val="00676144"/>
    <w:rsid w:val="00683D61"/>
    <w:rsid w:val="006B2EF6"/>
    <w:rsid w:val="006C6578"/>
    <w:rsid w:val="006C6A9D"/>
    <w:rsid w:val="006F1CBD"/>
    <w:rsid w:val="006F5382"/>
    <w:rsid w:val="007103CC"/>
    <w:rsid w:val="00734BCA"/>
    <w:rsid w:val="00735994"/>
    <w:rsid w:val="00753984"/>
    <w:rsid w:val="0075682F"/>
    <w:rsid w:val="00757788"/>
    <w:rsid w:val="00764264"/>
    <w:rsid w:val="00785F8D"/>
    <w:rsid w:val="007925A3"/>
    <w:rsid w:val="007E7A33"/>
    <w:rsid w:val="007F21B5"/>
    <w:rsid w:val="007F5B16"/>
    <w:rsid w:val="00810071"/>
    <w:rsid w:val="00814110"/>
    <w:rsid w:val="00816600"/>
    <w:rsid w:val="00823954"/>
    <w:rsid w:val="0083655D"/>
    <w:rsid w:val="00842CD1"/>
    <w:rsid w:val="00843F46"/>
    <w:rsid w:val="00845772"/>
    <w:rsid w:val="00845EBA"/>
    <w:rsid w:val="0085245F"/>
    <w:rsid w:val="008558D0"/>
    <w:rsid w:val="0088263F"/>
    <w:rsid w:val="00883FE0"/>
    <w:rsid w:val="00890525"/>
    <w:rsid w:val="008A445C"/>
    <w:rsid w:val="008B5BA5"/>
    <w:rsid w:val="008B5D54"/>
    <w:rsid w:val="008B79EA"/>
    <w:rsid w:val="008E2E4B"/>
    <w:rsid w:val="0090626D"/>
    <w:rsid w:val="00914891"/>
    <w:rsid w:val="00920754"/>
    <w:rsid w:val="00950DF5"/>
    <w:rsid w:val="00953B2E"/>
    <w:rsid w:val="00965A9E"/>
    <w:rsid w:val="0096752D"/>
    <w:rsid w:val="00971C8B"/>
    <w:rsid w:val="009C17A4"/>
    <w:rsid w:val="009D24BB"/>
    <w:rsid w:val="009D3910"/>
    <w:rsid w:val="009E0F6A"/>
    <w:rsid w:val="009F08E6"/>
    <w:rsid w:val="009F5A8B"/>
    <w:rsid w:val="00A205C2"/>
    <w:rsid w:val="00A71B20"/>
    <w:rsid w:val="00A7436B"/>
    <w:rsid w:val="00A84E75"/>
    <w:rsid w:val="00AC4CDA"/>
    <w:rsid w:val="00AD4538"/>
    <w:rsid w:val="00B441C9"/>
    <w:rsid w:val="00B44EB1"/>
    <w:rsid w:val="00B52A5A"/>
    <w:rsid w:val="00B55735"/>
    <w:rsid w:val="00B60668"/>
    <w:rsid w:val="00B608AC"/>
    <w:rsid w:val="00B60B31"/>
    <w:rsid w:val="00B64BC6"/>
    <w:rsid w:val="00B731B2"/>
    <w:rsid w:val="00B97791"/>
    <w:rsid w:val="00BA783B"/>
    <w:rsid w:val="00BD1A11"/>
    <w:rsid w:val="00BE378B"/>
    <w:rsid w:val="00C2043B"/>
    <w:rsid w:val="00C34035"/>
    <w:rsid w:val="00C43268"/>
    <w:rsid w:val="00C63B10"/>
    <w:rsid w:val="00C94886"/>
    <w:rsid w:val="00CB5B04"/>
    <w:rsid w:val="00CB66E0"/>
    <w:rsid w:val="00CD0730"/>
    <w:rsid w:val="00CD127E"/>
    <w:rsid w:val="00CF7050"/>
    <w:rsid w:val="00D009A4"/>
    <w:rsid w:val="00D275E8"/>
    <w:rsid w:val="00D30757"/>
    <w:rsid w:val="00D30C2F"/>
    <w:rsid w:val="00D35020"/>
    <w:rsid w:val="00D5599D"/>
    <w:rsid w:val="00D715A4"/>
    <w:rsid w:val="00D84CBD"/>
    <w:rsid w:val="00D92B99"/>
    <w:rsid w:val="00DA117C"/>
    <w:rsid w:val="00DB1AF9"/>
    <w:rsid w:val="00DB2ACA"/>
    <w:rsid w:val="00DC33DE"/>
    <w:rsid w:val="00DC57CC"/>
    <w:rsid w:val="00DE3B57"/>
    <w:rsid w:val="00E023D0"/>
    <w:rsid w:val="00E03543"/>
    <w:rsid w:val="00E13F31"/>
    <w:rsid w:val="00E23279"/>
    <w:rsid w:val="00E53F89"/>
    <w:rsid w:val="00E81506"/>
    <w:rsid w:val="00EB3065"/>
    <w:rsid w:val="00EC6471"/>
    <w:rsid w:val="00EE41A3"/>
    <w:rsid w:val="00EE428D"/>
    <w:rsid w:val="00EF0E0F"/>
    <w:rsid w:val="00EF4E29"/>
    <w:rsid w:val="00F44F56"/>
    <w:rsid w:val="00F44FE1"/>
    <w:rsid w:val="00F52E1F"/>
    <w:rsid w:val="00F71AA4"/>
    <w:rsid w:val="00F80FD1"/>
    <w:rsid w:val="00FB1187"/>
    <w:rsid w:val="00FB2556"/>
    <w:rsid w:val="00FC07A2"/>
    <w:rsid w:val="00FC5663"/>
    <w:rsid w:val="00FD0D82"/>
    <w:rsid w:val="0554A958"/>
    <w:rsid w:val="05BA49EE"/>
    <w:rsid w:val="0A5CE1F9"/>
    <w:rsid w:val="0D42BF57"/>
    <w:rsid w:val="0EC1D419"/>
    <w:rsid w:val="0F46063B"/>
    <w:rsid w:val="118642D0"/>
    <w:rsid w:val="166670E7"/>
    <w:rsid w:val="1FABDA32"/>
    <w:rsid w:val="2792F75C"/>
    <w:rsid w:val="2B8BDFA2"/>
    <w:rsid w:val="2D61BDBA"/>
    <w:rsid w:val="2D8487BF"/>
    <w:rsid w:val="2DF35777"/>
    <w:rsid w:val="2EC38064"/>
    <w:rsid w:val="3376C38E"/>
    <w:rsid w:val="39003F46"/>
    <w:rsid w:val="3B81D573"/>
    <w:rsid w:val="44867902"/>
    <w:rsid w:val="4528A7C3"/>
    <w:rsid w:val="47FD73D2"/>
    <w:rsid w:val="4AEFEBCF"/>
    <w:rsid w:val="4B18074E"/>
    <w:rsid w:val="4C7AC73A"/>
    <w:rsid w:val="4F637E0C"/>
    <w:rsid w:val="4F657077"/>
    <w:rsid w:val="4FC5A04E"/>
    <w:rsid w:val="51061CC2"/>
    <w:rsid w:val="52D32484"/>
    <w:rsid w:val="52E1D557"/>
    <w:rsid w:val="533F4B1D"/>
    <w:rsid w:val="5496CE15"/>
    <w:rsid w:val="54DB1B7E"/>
    <w:rsid w:val="560D8C43"/>
    <w:rsid w:val="56329E76"/>
    <w:rsid w:val="5B1502BB"/>
    <w:rsid w:val="5DBC536A"/>
    <w:rsid w:val="5E906B7C"/>
    <w:rsid w:val="5E9F1D66"/>
    <w:rsid w:val="62F7F921"/>
    <w:rsid w:val="63D293B7"/>
    <w:rsid w:val="63E042BC"/>
    <w:rsid w:val="640B88A0"/>
    <w:rsid w:val="6493C982"/>
    <w:rsid w:val="649BB708"/>
    <w:rsid w:val="656AAF83"/>
    <w:rsid w:val="69FD111D"/>
    <w:rsid w:val="6E1446B1"/>
    <w:rsid w:val="6E42994E"/>
    <w:rsid w:val="6E9878D3"/>
    <w:rsid w:val="6FDE69AF"/>
    <w:rsid w:val="717A3A10"/>
    <w:rsid w:val="73160A71"/>
    <w:rsid w:val="7425F5AB"/>
    <w:rsid w:val="7D2D288C"/>
    <w:rsid w:val="7E835CBA"/>
    <w:rsid w:val="7F4CA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2BF32"/>
  <w15:chartTrackingRefBased/>
  <w15:docId w15:val="{55801D89-6A91-40F4-9CE7-76D60208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paragraph" w:styleId="ListParagraph">
    <w:name w:val="List Paragraph"/>
    <w:basedOn w:val="Normal"/>
    <w:uiPriority w:val="34"/>
    <w:qFormat/>
    <w:rsid w:val="002A1076"/>
    <w:pPr>
      <w:ind w:left="720"/>
      <w:contextualSpacing/>
    </w:pPr>
  </w:style>
  <w:style w:type="table" w:styleId="TableGrid">
    <w:name w:val="Table Grid"/>
    <w:basedOn w:val="TableNormal"/>
    <w:uiPriority w:val="59"/>
    <w:rsid w:val="00A20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3348"/>
    <w:pPr>
      <w:spacing w:after="0" w:line="240" w:lineRule="auto"/>
    </w:pPr>
    <w:rPr>
      <w:rFonts w:ascii="Times New Roman" w:hAnsi="Times New Roman"/>
    </w:rPr>
  </w:style>
  <w:style w:type="paragraph" w:styleId="BalloonText">
    <w:name w:val="Balloon Text"/>
    <w:basedOn w:val="Normal"/>
    <w:link w:val="BalloonTextChar"/>
    <w:uiPriority w:val="99"/>
    <w:semiHidden/>
    <w:unhideWhenUsed/>
    <w:rsid w:val="00E23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279"/>
    <w:rPr>
      <w:rFonts w:ascii="Segoe UI" w:hAnsi="Segoe UI" w:cs="Segoe UI"/>
      <w:sz w:val="18"/>
      <w:szCs w:val="18"/>
    </w:rPr>
  </w:style>
  <w:style w:type="paragraph" w:styleId="Revision">
    <w:name w:val="Revision"/>
    <w:hidden/>
    <w:uiPriority w:val="99"/>
    <w:semiHidden/>
    <w:rsid w:val="00965A9E"/>
    <w:pPr>
      <w:spacing w:after="0" w:line="240" w:lineRule="auto"/>
    </w:pPr>
  </w:style>
  <w:style w:type="paragraph" w:customStyle="1" w:styleId="paragraph">
    <w:name w:val="paragraph"/>
    <w:basedOn w:val="Normal"/>
    <w:rsid w:val="009D24BB"/>
    <w:pPr>
      <w:spacing w:after="0" w:line="240" w:lineRule="auto"/>
    </w:pPr>
    <w:rPr>
      <w:rFonts w:ascii="Calibri" w:hAnsi="Calibri" w:cs="Calibri"/>
    </w:rPr>
  </w:style>
  <w:style w:type="character" w:customStyle="1" w:styleId="normaltextrun">
    <w:name w:val="normaltextrun"/>
    <w:basedOn w:val="DefaultParagraphFont"/>
    <w:rsid w:val="009D2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2A995-1C7F-40B9-9098-C9B7BA07A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815</Words>
  <Characters>4652</Characters>
  <Application>Microsoft Office Word</Application>
  <DocSecurity>0</DocSecurity>
  <Lines>38</Lines>
  <Paragraphs>10</Paragraphs>
  <ScaleCrop>false</ScaleCrop>
  <Company>Centers for Disease Control and Prevention</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Emily J. (CDC/NIOSH/OMSHR)</dc:creator>
  <cp:keywords/>
  <dc:description/>
  <cp:lastModifiedBy>Eiter, Brianna (CDC/NIOSH/SMRD/MHB)</cp:lastModifiedBy>
  <cp:revision>7</cp:revision>
  <dcterms:created xsi:type="dcterms:W3CDTF">2023-05-18T13:59:00Z</dcterms:created>
  <dcterms:modified xsi:type="dcterms:W3CDTF">2023-05-18T14:03:00Z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2022-03-11T13:16:59Z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212c3502-d4af-48a7-ae69-d82499140b78</vt:lpwstr>
  </property>
  <property fmtid="{D5CDD505-2E9C-101B-9397-08002B2CF9AE}" pid="8" name="MSIP_Label_8af03ff0-41c5-4c41-b55e-fabb8fae94be_ContentBits">
    <vt:lpwstr>0</vt:lpwstr>
  </property>
</Properties>
</file>